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887E" w14:textId="77777777" w:rsidR="00C60333" w:rsidRPr="001858E9" w:rsidRDefault="00DB3D8D" w:rsidP="00DB3D8D">
      <w:pPr>
        <w:jc w:val="both"/>
        <w:rPr>
          <w:rFonts w:cstheme="minorHAnsi"/>
          <w:color w:val="000000" w:themeColor="text1"/>
          <w:sz w:val="52"/>
          <w:szCs w:val="52"/>
          <w:lang w:val="en-AU"/>
        </w:rPr>
      </w:pPr>
      <w:r w:rsidRPr="001858E9">
        <w:rPr>
          <w:rFonts w:cstheme="minorHAnsi"/>
          <w:color w:val="000000" w:themeColor="text1"/>
          <w:sz w:val="52"/>
          <w:szCs w:val="52"/>
          <w:lang w:val="en-AU"/>
        </w:rPr>
        <w:t>Unfair Contract</w:t>
      </w:r>
      <w:r w:rsidR="00C60333" w:rsidRPr="001858E9">
        <w:rPr>
          <w:rFonts w:cstheme="minorHAnsi"/>
          <w:color w:val="000000" w:themeColor="text1"/>
          <w:sz w:val="52"/>
          <w:szCs w:val="52"/>
          <w:lang w:val="en-AU"/>
        </w:rPr>
        <w:t xml:space="preserve"> </w:t>
      </w:r>
      <w:r w:rsidRPr="001858E9">
        <w:rPr>
          <w:rFonts w:cstheme="minorHAnsi"/>
          <w:color w:val="000000" w:themeColor="text1"/>
          <w:sz w:val="52"/>
          <w:szCs w:val="52"/>
          <w:lang w:val="en-AU"/>
        </w:rPr>
        <w:t>Terms under the</w:t>
      </w:r>
    </w:p>
    <w:p w14:paraId="0D1A14B5" w14:textId="77777777" w:rsidR="00DB3D8D" w:rsidRPr="001858E9" w:rsidRDefault="00C60333" w:rsidP="001858E9">
      <w:pPr>
        <w:jc w:val="both"/>
        <w:rPr>
          <w:rFonts w:cstheme="minorHAnsi"/>
          <w:color w:val="000000" w:themeColor="text1"/>
          <w:sz w:val="52"/>
          <w:szCs w:val="52"/>
          <w:lang w:val="en-AU"/>
        </w:rPr>
      </w:pPr>
      <w:r w:rsidRPr="001858E9">
        <w:rPr>
          <w:rFonts w:cstheme="minorHAnsi"/>
          <w:color w:val="000000" w:themeColor="text1"/>
          <w:sz w:val="52"/>
          <w:szCs w:val="52"/>
          <w:lang w:val="en-AU"/>
        </w:rPr>
        <w:t>Australian Consumer Law</w:t>
      </w:r>
    </w:p>
    <w:p w14:paraId="3C990972" w14:textId="77777777" w:rsidR="001858E9" w:rsidRDefault="001858E9" w:rsidP="00A0794B">
      <w:pPr>
        <w:rPr>
          <w:lang w:val="en-AU"/>
        </w:rPr>
      </w:pPr>
    </w:p>
    <w:p w14:paraId="560C1BE6" w14:textId="77777777" w:rsidR="00790B19" w:rsidRDefault="00207DDC" w:rsidP="00A0794B">
      <w:pPr>
        <w:rPr>
          <w:lang w:val="en-AU"/>
        </w:rPr>
      </w:pPr>
      <w:r w:rsidRPr="00901AD4">
        <w:rPr>
          <w:lang w:val="en-AU"/>
        </w:rPr>
        <w:t>Hugo de Kock</w:t>
      </w:r>
    </w:p>
    <w:p w14:paraId="29973D51" w14:textId="6BE0A11F" w:rsidR="00A0794B" w:rsidRDefault="00893C7D" w:rsidP="00A0794B">
      <w:pPr>
        <w:rPr>
          <w:rFonts w:cs="Arial"/>
          <w:lang w:val="en-AU"/>
        </w:rPr>
      </w:pPr>
      <w:r>
        <w:rPr>
          <w:lang w:val="en-AU"/>
        </w:rPr>
        <w:t>March</w:t>
      </w:r>
      <w:r w:rsidR="00A0794B">
        <w:rPr>
          <w:lang w:val="en-AU"/>
        </w:rPr>
        <w:t xml:space="preserve"> 202</w:t>
      </w:r>
      <w:r>
        <w:rPr>
          <w:lang w:val="en-AU"/>
        </w:rPr>
        <w:t>3</w:t>
      </w:r>
    </w:p>
    <w:p w14:paraId="2A182272" w14:textId="77777777" w:rsidR="00337D9E" w:rsidRPr="00337D9E" w:rsidRDefault="00337D9E" w:rsidP="00E63ABD">
      <w:pPr>
        <w:spacing w:line="480" w:lineRule="auto"/>
        <w:rPr>
          <w:rFonts w:cs="Arial"/>
          <w:lang w:val="en-AU"/>
        </w:rPr>
      </w:pPr>
    </w:p>
    <w:p w14:paraId="7AEE36F8" w14:textId="77777777" w:rsidR="00DB3D8D" w:rsidRPr="00692ACE" w:rsidRDefault="00DB3D8D" w:rsidP="00DB3D8D">
      <w:pPr>
        <w:rPr>
          <w:rFonts w:ascii="Arial" w:hAnsi="Arial"/>
          <w:sz w:val="40"/>
          <w:lang w:val="en-AU"/>
        </w:rPr>
      </w:pPr>
      <w:bookmarkStart w:id="0" w:name="_Toc238801650"/>
      <w:bookmarkStart w:id="1" w:name="_Toc284521936"/>
      <w:bookmarkStart w:id="2" w:name="_Toc410758548"/>
      <w:bookmarkStart w:id="3" w:name="_Toc287000861"/>
      <w:r w:rsidRPr="00692ACE">
        <w:rPr>
          <w:rFonts w:ascii="Arial" w:hAnsi="Arial"/>
          <w:sz w:val="40"/>
          <w:u w:val="single"/>
          <w:lang w:val="en-AU"/>
        </w:rPr>
        <w:t>Introduction</w:t>
      </w:r>
      <w:bookmarkEnd w:id="0"/>
      <w:bookmarkEnd w:id="1"/>
      <w:bookmarkEnd w:id="2"/>
      <w:bookmarkEnd w:id="3"/>
      <w:r w:rsidRPr="00692ACE">
        <w:rPr>
          <w:rFonts w:ascii="Arial" w:hAnsi="Arial"/>
          <w:sz w:val="40"/>
          <w:u w:val="single"/>
          <w:lang w:val="en-AU"/>
        </w:rPr>
        <w:t xml:space="preserve"> </w:t>
      </w:r>
      <w:r w:rsidRPr="00692ACE">
        <w:rPr>
          <w:rFonts w:ascii="Arial" w:hAnsi="Arial"/>
          <w:sz w:val="40"/>
          <w:u w:val="single"/>
          <w:lang w:val="en-AU"/>
        </w:rPr>
        <w:tab/>
      </w:r>
      <w:r w:rsidRPr="00692ACE">
        <w:rPr>
          <w:rFonts w:ascii="Arial" w:hAnsi="Arial"/>
          <w:sz w:val="40"/>
          <w:u w:val="single"/>
          <w:lang w:val="en-AU"/>
        </w:rPr>
        <w:tab/>
      </w:r>
      <w:r w:rsidRPr="00692ACE">
        <w:rPr>
          <w:rFonts w:ascii="Arial" w:hAnsi="Arial"/>
          <w:sz w:val="40"/>
          <w:u w:val="single"/>
          <w:lang w:val="en-AU"/>
        </w:rPr>
        <w:tab/>
      </w:r>
      <w:r w:rsidRPr="00692ACE">
        <w:rPr>
          <w:rFonts w:ascii="Arial" w:hAnsi="Arial"/>
          <w:sz w:val="40"/>
          <w:u w:val="single"/>
          <w:lang w:val="en-AU"/>
        </w:rPr>
        <w:tab/>
      </w:r>
      <w:r w:rsidRPr="00692ACE">
        <w:rPr>
          <w:rFonts w:ascii="Arial" w:hAnsi="Arial"/>
          <w:sz w:val="40"/>
          <w:u w:val="single"/>
          <w:lang w:val="en-AU"/>
        </w:rPr>
        <w:tab/>
      </w:r>
      <w:r w:rsidRPr="00692ACE">
        <w:rPr>
          <w:rFonts w:ascii="Arial" w:hAnsi="Arial"/>
          <w:sz w:val="40"/>
          <w:u w:val="single"/>
          <w:lang w:val="en-AU"/>
        </w:rPr>
        <w:tab/>
      </w:r>
      <w:r w:rsidRPr="00692ACE">
        <w:rPr>
          <w:rFonts w:ascii="Arial" w:hAnsi="Arial"/>
          <w:sz w:val="40"/>
          <w:u w:val="single"/>
          <w:lang w:val="en-AU"/>
        </w:rPr>
        <w:tab/>
      </w:r>
    </w:p>
    <w:p w14:paraId="1FBFB3D8" w14:textId="77777777" w:rsidR="00DB3D8D" w:rsidRPr="00692ACE" w:rsidRDefault="00DB3D8D" w:rsidP="009C223D">
      <w:pPr>
        <w:pStyle w:val="NumberedParagraph"/>
        <w:numPr>
          <w:ilvl w:val="0"/>
          <w:numId w:val="0"/>
        </w:numPr>
      </w:pPr>
    </w:p>
    <w:p w14:paraId="186320BD" w14:textId="77777777" w:rsidR="00DB3D8D" w:rsidRPr="00692ACE" w:rsidRDefault="00DB3D8D" w:rsidP="00A06B7C">
      <w:pPr>
        <w:pStyle w:val="NumberedParagraph"/>
        <w:ind w:left="567" w:hanging="567"/>
      </w:pPr>
      <w:r w:rsidRPr="00692ACE">
        <w:t xml:space="preserve">The focus of this paper is the legislative provisions regulating unfair contract terms in standard form contracts. </w:t>
      </w:r>
      <w:r w:rsidR="00950C19">
        <w:t>T</w:t>
      </w:r>
      <w:r w:rsidRPr="00692ACE">
        <w:t xml:space="preserve">hese provisions </w:t>
      </w:r>
      <w:r w:rsidR="00950C19">
        <w:t>apply</w:t>
      </w:r>
      <w:r w:rsidRPr="00692ACE">
        <w:t xml:space="preserve"> to consumer contracts</w:t>
      </w:r>
      <w:r w:rsidR="00950C19">
        <w:t xml:space="preserve"> and small business contracts.  </w:t>
      </w:r>
    </w:p>
    <w:p w14:paraId="0C985131" w14:textId="239209AA" w:rsidR="00011300" w:rsidRDefault="00DB3D8D" w:rsidP="00A06B7C">
      <w:pPr>
        <w:pStyle w:val="NumberedParagraph"/>
        <w:ind w:left="567" w:hanging="567"/>
      </w:pPr>
      <w:r w:rsidRPr="00692ACE">
        <w:t xml:space="preserve">The unfair contract term provisions are found in Pt 2-3 of the </w:t>
      </w:r>
      <w:r w:rsidRPr="00692ACE">
        <w:rPr>
          <w:i/>
        </w:rPr>
        <w:t xml:space="preserve">Australian Consumer Law </w:t>
      </w:r>
      <w:r w:rsidRPr="00692ACE">
        <w:t>(</w:t>
      </w:r>
      <w:r w:rsidRPr="001C3CFB">
        <w:rPr>
          <w:b/>
        </w:rPr>
        <w:t>ACL)</w:t>
      </w:r>
      <w:r w:rsidRPr="00692ACE">
        <w:rPr>
          <w:rStyle w:val="FootnoteReference"/>
          <w:rFonts w:cs="Arial"/>
        </w:rPr>
        <w:footnoteReference w:id="1"/>
      </w:r>
      <w:r w:rsidRPr="00692ACE">
        <w:t xml:space="preserve"> and Pt 2 </w:t>
      </w:r>
      <w:proofErr w:type="spellStart"/>
      <w:r w:rsidRPr="00692ACE">
        <w:t>Div</w:t>
      </w:r>
      <w:proofErr w:type="spellEnd"/>
      <w:r w:rsidRPr="00692ACE">
        <w:t xml:space="preserve"> 2 </w:t>
      </w:r>
      <w:proofErr w:type="spellStart"/>
      <w:r w:rsidRPr="00692ACE">
        <w:t>Subdiv</w:t>
      </w:r>
      <w:proofErr w:type="spellEnd"/>
      <w:r w:rsidRPr="00692ACE">
        <w:t xml:space="preserve"> BA of the </w:t>
      </w:r>
      <w:r w:rsidRPr="00692ACE">
        <w:rPr>
          <w:i/>
        </w:rPr>
        <w:t>Australian Securities and Investment Commission Act 2001</w:t>
      </w:r>
      <w:r w:rsidRPr="00692ACE">
        <w:t xml:space="preserve"> (</w:t>
      </w:r>
      <w:r w:rsidRPr="001C3CFB">
        <w:rPr>
          <w:b/>
        </w:rPr>
        <w:t>ASIC Act</w:t>
      </w:r>
      <w:r w:rsidRPr="00692ACE">
        <w:t xml:space="preserve">). The </w:t>
      </w:r>
      <w:r w:rsidR="00712C72">
        <w:t xml:space="preserve">unfair contract </w:t>
      </w:r>
      <w:r w:rsidRPr="00692ACE">
        <w:t>provisions in the ACL and the ASIC Act are</w:t>
      </w:r>
      <w:r w:rsidR="00712C72">
        <w:t xml:space="preserve"> broadly the same, however, they cover different areas:</w:t>
      </w:r>
    </w:p>
    <w:p w14:paraId="66B96ED1" w14:textId="34899740" w:rsidR="00011300" w:rsidRDefault="00DB3D8D" w:rsidP="00A06B7C">
      <w:pPr>
        <w:pStyle w:val="NumberedParagraph"/>
        <w:numPr>
          <w:ilvl w:val="1"/>
          <w:numId w:val="1"/>
        </w:numPr>
      </w:pPr>
      <w:r w:rsidRPr="00692ACE">
        <w:t>the ACL</w:t>
      </w:r>
      <w:r w:rsidR="00011300">
        <w:t xml:space="preserve"> </w:t>
      </w:r>
      <w:r w:rsidR="00B70C04">
        <w:t>applies to</w:t>
      </w:r>
      <w:r w:rsidR="00011300">
        <w:t xml:space="preserve"> unfair contract terms in relation to goods, services and the sale or grant of an interest in land; and</w:t>
      </w:r>
    </w:p>
    <w:p w14:paraId="6629FF77" w14:textId="37590377" w:rsidR="00011300" w:rsidRDefault="008D115D" w:rsidP="00A06B7C">
      <w:pPr>
        <w:pStyle w:val="NumberedParagraph"/>
        <w:numPr>
          <w:ilvl w:val="1"/>
          <w:numId w:val="1"/>
        </w:numPr>
      </w:pPr>
      <w:r>
        <w:t>t</w:t>
      </w:r>
      <w:r w:rsidR="00011300">
        <w:t>he provisions in the ASIC Act appl</w:t>
      </w:r>
      <w:r w:rsidR="00712C72">
        <w:t>y</w:t>
      </w:r>
      <w:r w:rsidR="00011300">
        <w:t xml:space="preserve"> to </w:t>
      </w:r>
      <w:r w:rsidR="00DB3D8D" w:rsidRPr="00692ACE">
        <w:t xml:space="preserve">financial services or financial products. </w:t>
      </w:r>
    </w:p>
    <w:p w14:paraId="2DEBC023" w14:textId="4C5EA698" w:rsidR="00DB3D8D" w:rsidRPr="00692ACE" w:rsidRDefault="00DB3D8D" w:rsidP="00A06B7C">
      <w:pPr>
        <w:pStyle w:val="NumberedParagraph"/>
        <w:ind w:left="567" w:hanging="567"/>
      </w:pPr>
      <w:r w:rsidRPr="00692ACE">
        <w:t xml:space="preserve">Together these provisions are referred to as the Unfair Contract Terms Law </w:t>
      </w:r>
      <w:r w:rsidRPr="005C3658">
        <w:t>(</w:t>
      </w:r>
      <w:r w:rsidRPr="001C3CFB">
        <w:rPr>
          <w:b/>
        </w:rPr>
        <w:t>UCTL</w:t>
      </w:r>
      <w:r w:rsidRPr="00692ACE">
        <w:t>).</w:t>
      </w:r>
      <w:r w:rsidRPr="00692ACE">
        <w:rPr>
          <w:rStyle w:val="FootnoteReference"/>
          <w:rFonts w:cs="Arial"/>
        </w:rPr>
        <w:footnoteReference w:id="2"/>
      </w:r>
    </w:p>
    <w:p w14:paraId="6DC7C102" w14:textId="77777777" w:rsidR="008D115D" w:rsidRDefault="00692BF4" w:rsidP="00A06B7C">
      <w:pPr>
        <w:pStyle w:val="NumberedParagraph"/>
        <w:ind w:left="567" w:hanging="567"/>
      </w:pPr>
      <w:r>
        <w:t xml:space="preserve">In 2016 the operation of the UCTL was expanded to apply to small business contracts.  These provisions came into effect on 16 November 2016.  </w:t>
      </w:r>
    </w:p>
    <w:p w14:paraId="4836D183" w14:textId="69660851" w:rsidR="00692BF4" w:rsidRDefault="00BE08CC" w:rsidP="00A06B7C">
      <w:pPr>
        <w:pStyle w:val="NumberedParagraph"/>
        <w:ind w:left="567" w:hanging="567"/>
      </w:pPr>
      <w:r>
        <w:t>Recently m</w:t>
      </w:r>
      <w:r w:rsidR="00692BF4">
        <w:t xml:space="preserve">ajor </w:t>
      </w:r>
      <w:r w:rsidR="00FD4CD0">
        <w:t xml:space="preserve">changes </w:t>
      </w:r>
      <w:r w:rsidR="00893C7D">
        <w:t xml:space="preserve">have been made </w:t>
      </w:r>
      <w:r w:rsidR="008D115D">
        <w:t>by the</w:t>
      </w:r>
      <w:r w:rsidR="00E0451C">
        <w:t xml:space="preserve"> </w:t>
      </w:r>
      <w:r w:rsidR="00886C97" w:rsidRPr="00886C97">
        <w:rPr>
          <w:i/>
        </w:rPr>
        <w:t>Treasury Law</w:t>
      </w:r>
      <w:r w:rsidR="000C10EF">
        <w:rPr>
          <w:i/>
        </w:rPr>
        <w:t>s</w:t>
      </w:r>
      <w:r w:rsidR="00886C97" w:rsidRPr="00886C97">
        <w:rPr>
          <w:i/>
        </w:rPr>
        <w:t xml:space="preserve"> Amendment (</w:t>
      </w:r>
      <w:r w:rsidR="000C10EF">
        <w:rPr>
          <w:i/>
        </w:rPr>
        <w:t>More Competition, Better Prices</w:t>
      </w:r>
      <w:r w:rsidR="00886C97" w:rsidRPr="00886C97">
        <w:rPr>
          <w:i/>
        </w:rPr>
        <w:t xml:space="preserve">) </w:t>
      </w:r>
      <w:r w:rsidR="00893C7D">
        <w:rPr>
          <w:i/>
        </w:rPr>
        <w:t>Act</w:t>
      </w:r>
      <w:r w:rsidR="00886C97" w:rsidRPr="00886C97">
        <w:rPr>
          <w:i/>
        </w:rPr>
        <w:t xml:space="preserve"> 2022</w:t>
      </w:r>
      <w:r w:rsidR="00E0451C">
        <w:t xml:space="preserve"> </w:t>
      </w:r>
      <w:r w:rsidR="00886C97" w:rsidRPr="00886C97">
        <w:rPr>
          <w:b/>
        </w:rPr>
        <w:t xml:space="preserve">(Amendment </w:t>
      </w:r>
      <w:r w:rsidR="00893C7D">
        <w:rPr>
          <w:b/>
        </w:rPr>
        <w:t>Act</w:t>
      </w:r>
      <w:r w:rsidR="00E0451C">
        <w:t>)</w:t>
      </w:r>
      <w:r w:rsidR="00692BF4">
        <w:t xml:space="preserve">.  </w:t>
      </w:r>
      <w:r w:rsidR="00FD4CD0">
        <w:t>The</w:t>
      </w:r>
      <w:r w:rsidR="00C31626">
        <w:t xml:space="preserve">se </w:t>
      </w:r>
      <w:r w:rsidR="00FD4CD0">
        <w:t xml:space="preserve">changes are aimed at </w:t>
      </w:r>
      <w:r w:rsidR="00692BF4">
        <w:t>strengthen</w:t>
      </w:r>
      <w:r w:rsidR="00FD4CD0">
        <w:t>ing</w:t>
      </w:r>
      <w:r w:rsidR="00692BF4">
        <w:t xml:space="preserve"> the </w:t>
      </w:r>
      <w:r w:rsidR="008B0ADA">
        <w:t xml:space="preserve">UCTL </w:t>
      </w:r>
      <w:r w:rsidR="00692BF4">
        <w:t xml:space="preserve">protections </w:t>
      </w:r>
      <w:r w:rsidR="00FD4CD0">
        <w:t xml:space="preserve">through increased penalties and to expand the class of contract that will be covered by the UCTL. </w:t>
      </w:r>
      <w:r w:rsidR="000C10EF">
        <w:t xml:space="preserve">The Amendment </w:t>
      </w:r>
      <w:r w:rsidR="00893C7D">
        <w:t xml:space="preserve">Act came into force on 9 November 2022.  </w:t>
      </w:r>
      <w:r w:rsidR="000C10EF">
        <w:t xml:space="preserve"> </w:t>
      </w:r>
      <w:r w:rsidR="00893C7D">
        <w:t xml:space="preserve">The changes to the UCTL are set out in schedule </w:t>
      </w:r>
      <w:r w:rsidR="00F66C6C">
        <w:t xml:space="preserve">2.  These provisions will come into effect 12 months after the Amendment Act came into force. </w:t>
      </w:r>
    </w:p>
    <w:p w14:paraId="7A105D69" w14:textId="77777777" w:rsidR="00DB3D8D" w:rsidRPr="00692ACE" w:rsidRDefault="00DB3D8D" w:rsidP="00A06B7C">
      <w:pPr>
        <w:pStyle w:val="Heading1"/>
        <w:spacing w:before="0" w:after="240" w:line="360" w:lineRule="auto"/>
        <w:jc w:val="both"/>
        <w:rPr>
          <w:rFonts w:ascii="Arial" w:hAnsi="Arial" w:cs="Arial"/>
          <w:b w:val="0"/>
          <w:color w:val="auto"/>
          <w:sz w:val="40"/>
          <w:u w:val="single"/>
          <w:lang w:val="en-AU"/>
        </w:rPr>
      </w:pPr>
      <w:bookmarkStart w:id="4" w:name="_Toc238801651"/>
      <w:bookmarkStart w:id="5" w:name="_Toc410758549"/>
      <w:bookmarkStart w:id="6" w:name="_Toc284521937"/>
      <w:bookmarkStart w:id="7" w:name="_Toc287000862"/>
      <w:r w:rsidRPr="00692ACE">
        <w:rPr>
          <w:rFonts w:ascii="Arial" w:hAnsi="Arial" w:cs="Arial"/>
          <w:b w:val="0"/>
          <w:color w:val="auto"/>
          <w:sz w:val="40"/>
          <w:u w:val="single"/>
          <w:lang w:val="en-AU"/>
        </w:rPr>
        <w:lastRenderedPageBreak/>
        <w:t>Why Regulate Unfair Contract Terms?</w:t>
      </w:r>
      <w:bookmarkEnd w:id="4"/>
      <w:bookmarkEnd w:id="5"/>
      <w:bookmarkEnd w:id="6"/>
      <w:bookmarkEnd w:id="7"/>
      <w:r w:rsidRPr="00692ACE">
        <w:rPr>
          <w:rFonts w:ascii="Arial" w:hAnsi="Arial" w:cs="Arial"/>
          <w:b w:val="0"/>
          <w:color w:val="auto"/>
          <w:sz w:val="40"/>
          <w:u w:val="single"/>
          <w:lang w:val="en-AU"/>
        </w:rPr>
        <w:tab/>
      </w:r>
    </w:p>
    <w:p w14:paraId="60DC88A4" w14:textId="77777777" w:rsidR="00DB3D8D" w:rsidRPr="00692ACE" w:rsidRDefault="00DB3D8D" w:rsidP="00A06B7C">
      <w:pPr>
        <w:pStyle w:val="NumberedParagraph"/>
        <w:ind w:left="567" w:hanging="567"/>
        <w:rPr>
          <w:b/>
        </w:rPr>
      </w:pPr>
      <w:r w:rsidRPr="00692ACE">
        <w:t>In common law, a basic principle underlying the law of contract is freedom of contract. Pursuant to classic contract theory, one of the major functions of the law of contract is to preserve the integrity of the bargaining process but otherwise to allow contracting parties the freedom to negotiate the substantive terms of their agreements as they see fit.</w:t>
      </w:r>
      <w:r w:rsidRPr="00692ACE">
        <w:rPr>
          <w:rStyle w:val="FootnoteReference"/>
          <w:rFonts w:cs="Arial"/>
        </w:rPr>
        <w:footnoteReference w:id="3"/>
      </w:r>
      <w:r w:rsidRPr="00692ACE">
        <w:t xml:space="preserve"> This objective is promoted by doctrines that allow a court to set aside an otherwise validly formed contract on the grounds that the consent of one party was impaired or vitiated. These vitiating circumstances include such doctrines as fraud, misrepresentation, mistake, undue influence, </w:t>
      </w:r>
      <w:r w:rsidR="008F4309">
        <w:t xml:space="preserve">and </w:t>
      </w:r>
      <w:r w:rsidRPr="00692ACE">
        <w:t xml:space="preserve">unconscionable conduct and </w:t>
      </w:r>
      <w:r w:rsidR="008F4309">
        <w:t>its</w:t>
      </w:r>
      <w:r w:rsidR="008F4309" w:rsidRPr="00692ACE">
        <w:t xml:space="preserve"> </w:t>
      </w:r>
      <w:r w:rsidRPr="00692ACE">
        <w:t xml:space="preserve">legislative equivalents, including the prohibition of misleading and deceptive conduct. </w:t>
      </w:r>
      <w:r w:rsidR="005A5C6C">
        <w:t>If the conditions for voluntary decisions by contracting parties have been met, there is no jurisdiction under general contract law to</w:t>
      </w:r>
      <w:r w:rsidRPr="00692ACE">
        <w:t xml:space="preserve"> intervene in a validly formed contract</w:t>
      </w:r>
      <w:r w:rsidR="005A5C6C">
        <w:t xml:space="preserve"> on the basis of substantive </w:t>
      </w:r>
      <w:r w:rsidR="00297EC7">
        <w:t>unfairness</w:t>
      </w:r>
      <w:r w:rsidRPr="00692ACE">
        <w:t>.</w:t>
      </w:r>
      <w:r w:rsidRPr="00692ACE">
        <w:rPr>
          <w:rStyle w:val="FootnoteReference"/>
          <w:rFonts w:cs="Arial"/>
        </w:rPr>
        <w:footnoteReference w:id="4"/>
      </w:r>
    </w:p>
    <w:p w14:paraId="0772F364" w14:textId="77777777" w:rsidR="00DB3D8D" w:rsidRPr="00692ACE" w:rsidRDefault="00DB3D8D" w:rsidP="00A06B7C">
      <w:pPr>
        <w:pStyle w:val="NumberedParagraph"/>
        <w:ind w:left="567" w:hanging="567"/>
      </w:pPr>
      <w:r w:rsidRPr="00692ACE">
        <w:t xml:space="preserve">In the report </w:t>
      </w:r>
      <w:r w:rsidRPr="00692ACE">
        <w:rPr>
          <w:i/>
        </w:rPr>
        <w:t>Review of Australian Consumer Policy Framework</w:t>
      </w:r>
      <w:r w:rsidRPr="00692ACE">
        <w:rPr>
          <w:rStyle w:val="FootnoteReference"/>
          <w:rFonts w:cs="Arial"/>
          <w:i/>
        </w:rPr>
        <w:footnoteReference w:id="5"/>
      </w:r>
      <w:r w:rsidRPr="00692ACE">
        <w:rPr>
          <w:iCs/>
        </w:rPr>
        <w:t>,</w:t>
      </w:r>
      <w:r w:rsidRPr="00692ACE">
        <w:t xml:space="preserve"> the Productivity Commission identified a number of arguments that provide a rationale for intervening in unfair contract terms contained within standard form consumer contracts. A key argument is that </w:t>
      </w:r>
      <w:r w:rsidRPr="00692ACE">
        <w:rPr>
          <w:color w:val="000000"/>
        </w:rPr>
        <w:t>fairness is a highly valued ethical norm</w:t>
      </w:r>
      <w:r w:rsidRPr="00692ACE">
        <w:t xml:space="preserve"> and that most people abhor unfairness </w:t>
      </w:r>
      <w:r w:rsidR="00263F4B">
        <w:t>to</w:t>
      </w:r>
      <w:r w:rsidR="00263F4B" w:rsidRPr="00692ACE">
        <w:t xml:space="preserve"> </w:t>
      </w:r>
      <w:r w:rsidRPr="00692ACE">
        <w:t xml:space="preserve">themselves and others. Other arguments are that consumers might underestimate the risk inherent in certain contract terms, resulting in an inefficient distribution of risk between firms and consumers. Unfair contract regulations might also help to drive out ‘bad’ firms that act in poor faith and impose unfair terms on their customers. Such ‘bad’ firms would </w:t>
      </w:r>
      <w:r w:rsidR="00C22C55" w:rsidRPr="00692ACE">
        <w:t xml:space="preserve">otherwise </w:t>
      </w:r>
      <w:r w:rsidRPr="00692ACE">
        <w:t>survive in greater numbers because of the difficulty for consumers to distinguish them from ‘good’ firms that deal fairly with customers.</w:t>
      </w:r>
      <w:r w:rsidRPr="00692ACE">
        <w:rPr>
          <w:rStyle w:val="FootnoteReference"/>
          <w:rFonts w:cs="Arial"/>
        </w:rPr>
        <w:footnoteReference w:id="6"/>
      </w:r>
    </w:p>
    <w:p w14:paraId="5FF007D0" w14:textId="77777777" w:rsidR="00DB3D8D" w:rsidRPr="00692ACE" w:rsidRDefault="00DB3D8D" w:rsidP="00A06B7C">
      <w:pPr>
        <w:pStyle w:val="NumberedParagraph"/>
        <w:ind w:left="567" w:hanging="567"/>
      </w:pPr>
      <w:r w:rsidRPr="00692ACE">
        <w:t>Another justification for prohibiting the use of unfair contract terms in standard form contracts is the argument that such contracts do not fit well with the assumptions made by classic contract theory and its concern for freedom of contract. Standard form contracts benefit contracting parties by reducing the costs associated with negotiating and drafting contracts on a case-by-case basis.</w:t>
      </w:r>
      <w:r w:rsidRPr="00692ACE">
        <w:rPr>
          <w:rStyle w:val="FootnoteReference"/>
          <w:rFonts w:cs="Arial"/>
        </w:rPr>
        <w:footnoteReference w:id="7"/>
      </w:r>
      <w:r w:rsidRPr="00692ACE">
        <w:t xml:space="preserve"> However, this efficiency means that standard form contracts do not tend to promote the principle of freedom of contract. By </w:t>
      </w:r>
      <w:r w:rsidRPr="00692ACE">
        <w:lastRenderedPageBreak/>
        <w:t>their nature, standard form contracts tend to limit opportunities to engage in genuine negotiations regarding contract terms.</w:t>
      </w:r>
      <w:r w:rsidRPr="00692ACE">
        <w:rPr>
          <w:rStyle w:val="FootnoteReference"/>
          <w:rFonts w:cs="Arial"/>
        </w:rPr>
        <w:footnoteReference w:id="8"/>
      </w:r>
    </w:p>
    <w:p w14:paraId="16689127" w14:textId="6F97709F" w:rsidR="00DB3D8D" w:rsidRPr="00692ACE" w:rsidRDefault="00DB3D8D" w:rsidP="00A06B7C">
      <w:pPr>
        <w:pStyle w:val="NumberedParagraph"/>
        <w:ind w:left="567" w:hanging="567"/>
      </w:pPr>
      <w:r w:rsidRPr="00692ACE">
        <w:t>The concern that consumers might underestimate the inherent risk in certain standard form contracts and lack the ability to make rational economic decisions when assessing the price/risk trade-offs presented to them in the contracts of different traders</w:t>
      </w:r>
      <w:r w:rsidR="00E25BF5">
        <w:t>,</w:t>
      </w:r>
      <w:r w:rsidRPr="00692ACE">
        <w:t xml:space="preserve"> arises from studies in the field of behavioural economics. </w:t>
      </w:r>
      <w:r w:rsidR="00095E77">
        <w:t>These studies</w:t>
      </w:r>
      <w:r w:rsidRPr="00692ACE">
        <w:t xml:space="preserve"> suggest that consumers are unlikely to read the terms of </w:t>
      </w:r>
      <w:r w:rsidR="00297EC7">
        <w:t>standard form</w:t>
      </w:r>
      <w:r w:rsidRPr="00692ACE">
        <w:t xml:space="preserve"> contracts and even if they do, are poor at processing large amounts of information. Consumers tend to focus only on the key elements of a transaction.</w:t>
      </w:r>
      <w:r w:rsidRPr="00692ACE">
        <w:rPr>
          <w:rStyle w:val="FootnoteReference"/>
          <w:rFonts w:cs="Arial"/>
        </w:rPr>
        <w:footnoteReference w:id="9"/>
      </w:r>
      <w:r w:rsidRPr="00692ACE">
        <w:t xml:space="preserve"> Additionally,</w:t>
      </w:r>
      <w:r w:rsidR="00E25BF5">
        <w:t xml:space="preserve"> </w:t>
      </w:r>
      <w:r w:rsidRPr="00692ACE">
        <w:t>standard form contracts are often lengthy, consumers have limited opportunity to read and consider them and the terms might be expressed in technical legal language. As a result, consumers are ill equipped to avoid buying from suppliers that use unfair terms and instead support suppliers that use contract terms that are fairer and more balanced.</w:t>
      </w:r>
    </w:p>
    <w:p w14:paraId="44954FCC" w14:textId="77777777" w:rsidR="00DB3D8D" w:rsidRPr="00692ACE" w:rsidRDefault="00DB3D8D" w:rsidP="00A06B7C">
      <w:pPr>
        <w:pStyle w:val="NumberedParagraph"/>
        <w:ind w:left="567" w:hanging="567"/>
      </w:pPr>
      <w:r w:rsidRPr="00692ACE">
        <w:t>Many of these arguments also apply to small business</w:t>
      </w:r>
      <w:r w:rsidR="00C22C55">
        <w:t>es</w:t>
      </w:r>
      <w:r w:rsidRPr="00692ACE">
        <w:t xml:space="preserve">. For example, small businesses often receive standard form contracts from </w:t>
      </w:r>
      <w:r w:rsidR="00C22C55">
        <w:t xml:space="preserve">other </w:t>
      </w:r>
      <w:r w:rsidRPr="00692ACE">
        <w:t>business</w:t>
      </w:r>
      <w:r w:rsidR="00C22C55">
        <w:t>es</w:t>
      </w:r>
      <w:r w:rsidRPr="00692ACE">
        <w:t xml:space="preserve"> on a take it or leave it basis and encounter similar disadvantages </w:t>
      </w:r>
      <w:r w:rsidR="00C22C55">
        <w:t>as</w:t>
      </w:r>
      <w:r w:rsidR="00C22C55" w:rsidRPr="00692ACE">
        <w:t xml:space="preserve"> </w:t>
      </w:r>
      <w:r w:rsidRPr="00692ACE">
        <w:t xml:space="preserve">individual consumers in negotiating contracts </w:t>
      </w:r>
      <w:r w:rsidR="00950C19">
        <w:t>with</w:t>
      </w:r>
      <w:r w:rsidRPr="00692ACE">
        <w:t xml:space="preserve"> suppliers. Small businesses often lack in-house legal expertise, and the cost of obtaining legal advice can be prohibitive, especially for low-value contracts. Accordingly, commercially powerful businesses dealing with small business</w:t>
      </w:r>
      <w:r w:rsidR="008F4309">
        <w:t>es</w:t>
      </w:r>
      <w:r w:rsidRPr="00692ACE">
        <w:t>, may use standard form contracts to shield against commercial risks in a way that is unfair.</w:t>
      </w:r>
      <w:r w:rsidRPr="00692ACE">
        <w:rPr>
          <w:rStyle w:val="FootnoteReference"/>
          <w:rFonts w:cs="Arial"/>
        </w:rPr>
        <w:footnoteReference w:id="10"/>
      </w:r>
      <w:r w:rsidRPr="00692ACE">
        <w:t xml:space="preserve"> </w:t>
      </w:r>
    </w:p>
    <w:p w14:paraId="70E8A7A3" w14:textId="1FC87967" w:rsidR="001858E9" w:rsidRPr="001858E9" w:rsidRDefault="00635C2B" w:rsidP="00A06B7C">
      <w:pPr>
        <w:pStyle w:val="Heading1"/>
        <w:spacing w:before="0" w:after="240" w:line="360" w:lineRule="auto"/>
        <w:jc w:val="both"/>
        <w:rPr>
          <w:lang w:val="en-AU"/>
        </w:rPr>
      </w:pPr>
      <w:bookmarkStart w:id="8" w:name="_Toc238801653"/>
      <w:bookmarkStart w:id="9" w:name="_Toc410758551"/>
      <w:bookmarkStart w:id="10" w:name="_Toc284521939"/>
      <w:bookmarkStart w:id="11" w:name="_Toc287000864"/>
      <w:bookmarkStart w:id="12" w:name="_Toc238801658"/>
      <w:bookmarkStart w:id="13" w:name="_Toc410758552"/>
      <w:bookmarkStart w:id="14" w:name="_Toc284521941"/>
      <w:bookmarkStart w:id="15" w:name="_Toc287000865"/>
      <w:r w:rsidRPr="00001329">
        <w:rPr>
          <w:rFonts w:ascii="Arial" w:hAnsi="Arial" w:cs="Arial"/>
          <w:b w:val="0"/>
          <w:color w:val="auto"/>
          <w:sz w:val="40"/>
          <w:lang w:val="en-AU"/>
        </w:rPr>
        <w:t>T</w:t>
      </w:r>
      <w:r w:rsidRPr="00692ACE">
        <w:rPr>
          <w:rFonts w:ascii="Arial" w:hAnsi="Arial" w:cs="Arial"/>
          <w:b w:val="0"/>
          <w:color w:val="auto"/>
          <w:sz w:val="40"/>
          <w:u w:val="single"/>
          <w:lang w:val="en-AU"/>
        </w:rPr>
        <w:t>he UCTL</w:t>
      </w:r>
      <w:bookmarkEnd w:id="8"/>
      <w:bookmarkEnd w:id="9"/>
      <w:bookmarkEnd w:id="10"/>
      <w:bookmarkEnd w:id="11"/>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p>
    <w:p w14:paraId="28740D7B" w14:textId="77777777" w:rsidR="00635C2B" w:rsidRPr="00692ACE" w:rsidRDefault="00635C2B" w:rsidP="00A06B7C">
      <w:pPr>
        <w:pStyle w:val="NumberedParagraph"/>
        <w:ind w:left="567" w:hanging="567"/>
      </w:pPr>
      <w:r w:rsidRPr="00692ACE">
        <w:t xml:space="preserve">The UCTL provides that a term </w:t>
      </w:r>
      <w:r>
        <w:t>of</w:t>
      </w:r>
      <w:r w:rsidRPr="00692ACE">
        <w:t xml:space="preserve"> a consumer contract</w:t>
      </w:r>
      <w:r>
        <w:t xml:space="preserve"> or a small business contract</w:t>
      </w:r>
      <w:r w:rsidRPr="00692ACE">
        <w:t xml:space="preserve"> is void if:</w:t>
      </w:r>
    </w:p>
    <w:p w14:paraId="0735E581" w14:textId="77777777" w:rsidR="00635C2B" w:rsidRPr="00692ACE" w:rsidRDefault="00635C2B" w:rsidP="00A06B7C">
      <w:pPr>
        <w:widowControl w:val="0"/>
        <w:numPr>
          <w:ilvl w:val="0"/>
          <w:numId w:val="11"/>
        </w:numPr>
        <w:autoSpaceDE w:val="0"/>
        <w:autoSpaceDN w:val="0"/>
        <w:adjustRightInd w:val="0"/>
        <w:spacing w:after="240" w:line="360" w:lineRule="auto"/>
        <w:ind w:left="1440"/>
        <w:contextualSpacing/>
        <w:jc w:val="both"/>
        <w:rPr>
          <w:rFonts w:ascii="Arial" w:hAnsi="Arial" w:cs="Arial"/>
          <w:sz w:val="22"/>
          <w:lang w:val="en-AU"/>
        </w:rPr>
      </w:pPr>
      <w:r w:rsidRPr="00692ACE">
        <w:rPr>
          <w:rFonts w:ascii="Arial" w:hAnsi="Arial" w:cs="Arial"/>
          <w:sz w:val="22"/>
          <w:lang w:val="en-AU"/>
        </w:rPr>
        <w:t>the term is unfair; and</w:t>
      </w:r>
    </w:p>
    <w:p w14:paraId="39B233B8" w14:textId="77777777" w:rsidR="00635C2B" w:rsidRPr="00692ACE" w:rsidRDefault="00635C2B" w:rsidP="00A06B7C">
      <w:pPr>
        <w:widowControl w:val="0"/>
        <w:numPr>
          <w:ilvl w:val="0"/>
          <w:numId w:val="11"/>
        </w:numPr>
        <w:autoSpaceDE w:val="0"/>
        <w:autoSpaceDN w:val="0"/>
        <w:adjustRightInd w:val="0"/>
        <w:spacing w:after="240" w:line="360" w:lineRule="auto"/>
        <w:ind w:left="1440"/>
        <w:jc w:val="both"/>
        <w:rPr>
          <w:rFonts w:ascii="Arial" w:hAnsi="Arial" w:cs="Arial"/>
          <w:sz w:val="22"/>
          <w:lang w:val="en-AU"/>
        </w:rPr>
      </w:pPr>
      <w:r w:rsidRPr="00692ACE">
        <w:rPr>
          <w:rFonts w:ascii="Arial" w:hAnsi="Arial" w:cs="Arial"/>
          <w:sz w:val="22"/>
          <w:lang w:val="en-AU"/>
        </w:rPr>
        <w:t>the contract is a standard form contract.</w:t>
      </w:r>
      <w:r w:rsidRPr="00692ACE">
        <w:rPr>
          <w:rStyle w:val="FootnoteReference"/>
          <w:rFonts w:ascii="Arial" w:hAnsi="Arial" w:cs="Arial"/>
          <w:sz w:val="22"/>
          <w:lang w:val="en-AU"/>
        </w:rPr>
        <w:footnoteReference w:id="11"/>
      </w:r>
    </w:p>
    <w:p w14:paraId="0476F9FB" w14:textId="77777777" w:rsidR="0063303F" w:rsidRDefault="00635C2B" w:rsidP="00A06B7C">
      <w:pPr>
        <w:pStyle w:val="NumberedParagraph"/>
        <w:ind w:left="567" w:hanging="567"/>
      </w:pPr>
      <w:r w:rsidRPr="00692ACE">
        <w:t>The contract continues to bind the parties if it can operate without the unfair term.</w:t>
      </w:r>
      <w:r w:rsidRPr="00692ACE">
        <w:rPr>
          <w:rStyle w:val="FootnoteReference"/>
          <w:rFonts w:cs="Arial"/>
        </w:rPr>
        <w:footnoteReference w:id="12"/>
      </w:r>
    </w:p>
    <w:p w14:paraId="08A42A2C" w14:textId="2BA33E2E" w:rsidR="00AE5F20" w:rsidRDefault="00AE5F20" w:rsidP="00A06B7C">
      <w:pPr>
        <w:pStyle w:val="NumberedParagraph"/>
        <w:ind w:left="567" w:hanging="567"/>
      </w:pPr>
      <w:r>
        <w:lastRenderedPageBreak/>
        <w:t xml:space="preserve">Under the provisions of the Amendment Act a person contravenes </w:t>
      </w:r>
      <w:r w:rsidR="00622CA5">
        <w:t>the ACL or the ASIC Act if that person:</w:t>
      </w:r>
    </w:p>
    <w:p w14:paraId="30C22C86" w14:textId="7068B131" w:rsidR="00622CA5" w:rsidRDefault="00622CA5" w:rsidP="00A06B7C">
      <w:pPr>
        <w:pStyle w:val="NumberedParagraph"/>
        <w:numPr>
          <w:ilvl w:val="1"/>
          <w:numId w:val="1"/>
        </w:numPr>
        <w:spacing w:line="276" w:lineRule="auto"/>
      </w:pPr>
      <w:r>
        <w:t>makes a contract; and</w:t>
      </w:r>
    </w:p>
    <w:p w14:paraId="504C32F4" w14:textId="52C0F2B4" w:rsidR="00622CA5" w:rsidRDefault="00622CA5" w:rsidP="00A06B7C">
      <w:pPr>
        <w:pStyle w:val="NumberedParagraph"/>
        <w:numPr>
          <w:ilvl w:val="1"/>
          <w:numId w:val="1"/>
        </w:numPr>
        <w:spacing w:line="276" w:lineRule="auto"/>
      </w:pPr>
      <w:r>
        <w:t>the contract is a consumer contract or small business contract; and</w:t>
      </w:r>
    </w:p>
    <w:p w14:paraId="413AF304" w14:textId="471DBA20" w:rsidR="00622CA5" w:rsidRDefault="00622CA5" w:rsidP="00A06B7C">
      <w:pPr>
        <w:pStyle w:val="NumberedParagraph"/>
        <w:numPr>
          <w:ilvl w:val="1"/>
          <w:numId w:val="1"/>
        </w:numPr>
        <w:spacing w:line="276" w:lineRule="auto"/>
      </w:pPr>
      <w:r>
        <w:t>the contract is a standard form contract; and</w:t>
      </w:r>
    </w:p>
    <w:p w14:paraId="3C7B45BD" w14:textId="5015AEB8" w:rsidR="00622CA5" w:rsidRDefault="00622CA5" w:rsidP="00A06B7C">
      <w:pPr>
        <w:pStyle w:val="NumberedParagraph"/>
        <w:numPr>
          <w:ilvl w:val="1"/>
          <w:numId w:val="1"/>
        </w:numPr>
        <w:spacing w:line="276" w:lineRule="auto"/>
      </w:pPr>
      <w:r>
        <w:t>a term of the contract is unfair; and</w:t>
      </w:r>
    </w:p>
    <w:p w14:paraId="7D3835EC" w14:textId="6C2FA7B9" w:rsidR="003D5FC6" w:rsidRDefault="00622CA5" w:rsidP="00A06B7C">
      <w:pPr>
        <w:pStyle w:val="NumberedParagraph"/>
        <w:numPr>
          <w:ilvl w:val="1"/>
          <w:numId w:val="1"/>
        </w:numPr>
        <w:spacing w:line="276" w:lineRule="auto"/>
      </w:pPr>
      <w:r>
        <w:t>the person proposed the unfair term.</w:t>
      </w:r>
      <w:r>
        <w:rPr>
          <w:rStyle w:val="FootnoteReference"/>
        </w:rPr>
        <w:footnoteReference w:id="13"/>
      </w:r>
    </w:p>
    <w:p w14:paraId="13CD8A5E" w14:textId="77777777" w:rsidR="00622CA5" w:rsidRDefault="00622CA5" w:rsidP="00942CC4">
      <w:pPr>
        <w:pStyle w:val="NumberedParagraph"/>
        <w:ind w:left="567" w:hanging="567"/>
      </w:pPr>
      <w:r>
        <w:t xml:space="preserve">Each unfair term that a person proposes constitutes a separate contravention.  </w:t>
      </w:r>
    </w:p>
    <w:p w14:paraId="43678945" w14:textId="655863BD" w:rsidR="00622CA5" w:rsidRDefault="00622CA5" w:rsidP="00942CC4">
      <w:pPr>
        <w:pStyle w:val="NumberedParagraph"/>
        <w:ind w:left="567" w:hanging="567"/>
      </w:pPr>
      <w:r>
        <w:t>A person also contravenes the ACL or the ASIC Act if that person:</w:t>
      </w:r>
    </w:p>
    <w:p w14:paraId="1FB507FE" w14:textId="3E9B00CE" w:rsidR="00622CA5" w:rsidRDefault="00A90326" w:rsidP="00A06B7C">
      <w:pPr>
        <w:pStyle w:val="NumberedParagraph"/>
        <w:numPr>
          <w:ilvl w:val="1"/>
          <w:numId w:val="1"/>
        </w:numPr>
        <w:spacing w:line="276" w:lineRule="auto"/>
      </w:pPr>
      <w:r>
        <w:t>a</w:t>
      </w:r>
      <w:r w:rsidR="00622CA5">
        <w:t>pplies or relies on, or purports to apply or rely on</w:t>
      </w:r>
      <w:r>
        <w:t xml:space="preserve"> a term of a contract; and</w:t>
      </w:r>
    </w:p>
    <w:p w14:paraId="18A902CD" w14:textId="02890F97" w:rsidR="00A90326" w:rsidRDefault="00A90326" w:rsidP="00A06B7C">
      <w:pPr>
        <w:pStyle w:val="NumberedParagraph"/>
        <w:numPr>
          <w:ilvl w:val="1"/>
          <w:numId w:val="1"/>
        </w:numPr>
        <w:spacing w:line="276" w:lineRule="auto"/>
      </w:pPr>
      <w:r>
        <w:t>the contract is a consumer contract or small business contract; and</w:t>
      </w:r>
    </w:p>
    <w:p w14:paraId="6A1A663E" w14:textId="6206F26C" w:rsidR="00A90326" w:rsidRDefault="00A90326" w:rsidP="00B70C04">
      <w:pPr>
        <w:pStyle w:val="NumberedParagraph"/>
        <w:numPr>
          <w:ilvl w:val="1"/>
          <w:numId w:val="1"/>
        </w:numPr>
        <w:spacing w:line="276" w:lineRule="auto"/>
      </w:pPr>
      <w:r>
        <w:t>the contract is a standard form contract; and</w:t>
      </w:r>
    </w:p>
    <w:p w14:paraId="67B22B76" w14:textId="0A65B3EF" w:rsidR="00A90326" w:rsidRPr="00337D9E" w:rsidRDefault="00A90326" w:rsidP="00A06B7C">
      <w:pPr>
        <w:pStyle w:val="NumberedParagraph"/>
        <w:numPr>
          <w:ilvl w:val="1"/>
          <w:numId w:val="1"/>
        </w:numPr>
        <w:spacing w:line="276" w:lineRule="auto"/>
      </w:pPr>
      <w:r>
        <w:t>the term is unfair.</w:t>
      </w:r>
      <w:r>
        <w:rPr>
          <w:rStyle w:val="FootnoteReference"/>
        </w:rPr>
        <w:footnoteReference w:id="14"/>
      </w:r>
    </w:p>
    <w:p w14:paraId="6360C761" w14:textId="77777777" w:rsidR="00635C2B" w:rsidRPr="00692ACE" w:rsidRDefault="00635C2B" w:rsidP="00A06B7C">
      <w:pPr>
        <w:widowControl w:val="0"/>
        <w:autoSpaceDE w:val="0"/>
        <w:autoSpaceDN w:val="0"/>
        <w:adjustRightInd w:val="0"/>
        <w:spacing w:after="240" w:line="360" w:lineRule="auto"/>
        <w:jc w:val="both"/>
        <w:rPr>
          <w:rFonts w:ascii="Arial" w:hAnsi="Arial" w:cs="Arial"/>
          <w:b/>
          <w:sz w:val="22"/>
          <w:lang w:val="en-AU"/>
        </w:rPr>
      </w:pPr>
      <w:r w:rsidRPr="00692ACE">
        <w:rPr>
          <w:rFonts w:ascii="Arial" w:hAnsi="Arial" w:cs="Arial"/>
          <w:b/>
          <w:sz w:val="22"/>
          <w:lang w:val="en-AU"/>
        </w:rPr>
        <w:t>Consumer contract</w:t>
      </w:r>
    </w:p>
    <w:p w14:paraId="12CDD318" w14:textId="77777777" w:rsidR="00635C2B" w:rsidRDefault="00635C2B" w:rsidP="00A06B7C">
      <w:pPr>
        <w:pStyle w:val="NumberedParagraph"/>
        <w:ind w:left="567" w:hanging="567"/>
      </w:pPr>
      <w:r w:rsidRPr="00692ACE">
        <w:t>A consumer contract is defined as a contract for the supply of goods or services</w:t>
      </w:r>
      <w:r>
        <w:t>,</w:t>
      </w:r>
      <w:r w:rsidRPr="00692ACE">
        <w:t xml:space="preserve"> or for the sale or grant of an interest in land to an individual whose acquisition of the goods, services or interest is wholly or predominantly for personal, domestic or household use or consumption.</w:t>
      </w:r>
      <w:r w:rsidRPr="00692ACE">
        <w:rPr>
          <w:rStyle w:val="FootnoteReference"/>
          <w:rFonts w:cs="Arial"/>
        </w:rPr>
        <w:footnoteReference w:id="15"/>
      </w:r>
    </w:p>
    <w:p w14:paraId="7D28070C" w14:textId="77777777" w:rsidR="00635C2B" w:rsidRPr="0063303F" w:rsidRDefault="00635C2B" w:rsidP="00A06B7C">
      <w:pPr>
        <w:pStyle w:val="NumberedParagraph"/>
        <w:numPr>
          <w:ilvl w:val="0"/>
          <w:numId w:val="0"/>
        </w:numPr>
        <w:rPr>
          <w:b/>
          <w:bCs/>
        </w:rPr>
      </w:pPr>
      <w:r w:rsidRPr="0063303F">
        <w:rPr>
          <w:b/>
          <w:bCs/>
        </w:rPr>
        <w:t>Small business contract</w:t>
      </w:r>
    </w:p>
    <w:p w14:paraId="03A35492" w14:textId="77777777" w:rsidR="00635C2B" w:rsidRDefault="00635C2B" w:rsidP="00A06B7C">
      <w:pPr>
        <w:pStyle w:val="NumberedParagraph"/>
        <w:ind w:left="567" w:hanging="567"/>
      </w:pPr>
      <w:r>
        <w:t>A contract is a small business contract if:</w:t>
      </w:r>
    </w:p>
    <w:p w14:paraId="2BF0063C" w14:textId="77777777" w:rsidR="00635C2B" w:rsidRDefault="00635C2B" w:rsidP="00A06B7C">
      <w:pPr>
        <w:pStyle w:val="NumberedParagraph"/>
        <w:numPr>
          <w:ilvl w:val="1"/>
          <w:numId w:val="1"/>
        </w:numPr>
      </w:pPr>
      <w:r>
        <w:t>the contract is for a supply of good</w:t>
      </w:r>
      <w:r w:rsidR="00950C19">
        <w:t>s</w:t>
      </w:r>
      <w:r>
        <w:t xml:space="preserve"> or services, or a sale or grant of an interest in land; and</w:t>
      </w:r>
    </w:p>
    <w:p w14:paraId="322BF12F" w14:textId="77777777" w:rsidR="00635C2B" w:rsidRDefault="00635C2B" w:rsidP="00A06B7C">
      <w:pPr>
        <w:pStyle w:val="NumberedParagraph"/>
        <w:numPr>
          <w:ilvl w:val="1"/>
          <w:numId w:val="1"/>
        </w:numPr>
      </w:pPr>
      <w:r>
        <w:t>at the time the contract is entered into, at least one party to the contract is a business that employs fewer than 20 persons; and</w:t>
      </w:r>
    </w:p>
    <w:p w14:paraId="5AD05331" w14:textId="77777777" w:rsidR="00635C2B" w:rsidRDefault="00635C2B" w:rsidP="00A06B7C">
      <w:pPr>
        <w:pStyle w:val="NumberedParagraph"/>
        <w:numPr>
          <w:ilvl w:val="1"/>
          <w:numId w:val="1"/>
        </w:numPr>
      </w:pPr>
      <w:r>
        <w:lastRenderedPageBreak/>
        <w:t>either of the following applies:</w:t>
      </w:r>
    </w:p>
    <w:p w14:paraId="051464B5" w14:textId="77777777" w:rsidR="00635C2B" w:rsidRDefault="00635C2B" w:rsidP="00A06B7C">
      <w:pPr>
        <w:pStyle w:val="NumberedParagraph"/>
        <w:numPr>
          <w:ilvl w:val="2"/>
          <w:numId w:val="1"/>
        </w:numPr>
      </w:pPr>
      <w:r>
        <w:t>the upfront price payable under the contract does not exceed $300,000;</w:t>
      </w:r>
    </w:p>
    <w:p w14:paraId="7A68286D" w14:textId="77777777" w:rsidR="00635C2B" w:rsidRDefault="00635C2B" w:rsidP="00A06B7C">
      <w:pPr>
        <w:pStyle w:val="NumberedParagraph"/>
        <w:numPr>
          <w:ilvl w:val="2"/>
          <w:numId w:val="1"/>
        </w:numPr>
      </w:pPr>
      <w:r>
        <w:t>the contract has a duration of more than 12 months and the upfront price payable under the contract does not exceed $1,000,000.</w:t>
      </w:r>
      <w:r>
        <w:rPr>
          <w:rStyle w:val="FootnoteReference"/>
          <w:rFonts w:cs="Arial"/>
        </w:rPr>
        <w:footnoteReference w:id="16"/>
      </w:r>
    </w:p>
    <w:p w14:paraId="26FD879A" w14:textId="0189A83A" w:rsidR="00C465E1" w:rsidRDefault="00E25BF5" w:rsidP="00A06B7C">
      <w:pPr>
        <w:pStyle w:val="NumberedParagraph"/>
        <w:ind w:left="567" w:hanging="567"/>
      </w:pPr>
      <w:r>
        <w:t xml:space="preserve">Under the </w:t>
      </w:r>
      <w:r w:rsidR="00E0451C">
        <w:t xml:space="preserve">Amendment </w:t>
      </w:r>
      <w:r>
        <w:t>Act these thresholds have been increased significantly.</w:t>
      </w:r>
      <w:r w:rsidR="00E0451C">
        <w:t xml:space="preserve"> </w:t>
      </w:r>
      <w:r w:rsidR="00BE08CC">
        <w:t>When the</w:t>
      </w:r>
      <w:r w:rsidR="002A594B">
        <w:t>se</w:t>
      </w:r>
      <w:r w:rsidR="00BE08CC">
        <w:t xml:space="preserve"> provisions come into effect, t</w:t>
      </w:r>
      <w:r w:rsidR="00E0451C">
        <w:t>he UCTL will</w:t>
      </w:r>
      <w:r w:rsidR="00DA2F03">
        <w:t xml:space="preserve"> </w:t>
      </w:r>
      <w:r w:rsidR="00E0451C">
        <w:t>apply to a small business contract if one party to the contract is a business that employs fewer than 100 persons or has a turnover of less than $10</w:t>
      </w:r>
      <w:r w:rsidR="00DF0E65">
        <w:t xml:space="preserve"> million</w:t>
      </w:r>
      <w:r w:rsidR="00E0451C">
        <w:t xml:space="preserve"> in the last income year. Part time employees will be counted as </w:t>
      </w:r>
      <w:r w:rsidR="00C465E1">
        <w:t xml:space="preserve">an appropriate fraction of a full-time equivalent employee. </w:t>
      </w:r>
    </w:p>
    <w:p w14:paraId="6747DABC" w14:textId="1AB7272D" w:rsidR="00C465E1" w:rsidRPr="00692ACE" w:rsidRDefault="00C465E1" w:rsidP="00A06B7C">
      <w:pPr>
        <w:pStyle w:val="NumberedParagraph"/>
        <w:ind w:left="567" w:hanging="567"/>
      </w:pPr>
      <w:r>
        <w:t xml:space="preserve">The threshold for the upfront price payable </w:t>
      </w:r>
      <w:r w:rsidR="00393CA9">
        <w:t>has</w:t>
      </w:r>
      <w:r>
        <w:t xml:space="preserve"> also be</w:t>
      </w:r>
      <w:r w:rsidR="000564FD">
        <w:t>en</w:t>
      </w:r>
      <w:r>
        <w:t xml:space="preserve"> amended. Under the ASIC Act, the UCTL appl</w:t>
      </w:r>
      <w:r w:rsidR="00DA2F03">
        <w:t>ies</w:t>
      </w:r>
      <w:r>
        <w:t xml:space="preserve"> to a small business contract provided the upfront price payable does not exceed $5,000,000. </w:t>
      </w:r>
      <w:r w:rsidR="00DF0E65">
        <w:t>U</w:t>
      </w:r>
      <w:r>
        <w:t xml:space="preserve">nder the ACL the upfront price </w:t>
      </w:r>
      <w:r w:rsidR="00DF0E65">
        <w:t>threshold</w:t>
      </w:r>
      <w:r>
        <w:t xml:space="preserve"> </w:t>
      </w:r>
      <w:r w:rsidR="00DA2F03">
        <w:t>ha</w:t>
      </w:r>
      <w:r w:rsidR="000564FD">
        <w:t>s</w:t>
      </w:r>
      <w:r w:rsidR="00DA2F03">
        <w:t xml:space="preserve"> been</w:t>
      </w:r>
      <w:r>
        <w:t xml:space="preserve"> removed</w:t>
      </w:r>
      <w:r w:rsidR="00DF0E65">
        <w:t xml:space="preserve"> completely</w:t>
      </w:r>
      <w:r>
        <w:t xml:space="preserve">. </w:t>
      </w:r>
    </w:p>
    <w:p w14:paraId="4A9F5C8D" w14:textId="77777777" w:rsidR="00635C2B" w:rsidRPr="00692ACE" w:rsidRDefault="00635C2B" w:rsidP="00A06B7C">
      <w:pPr>
        <w:widowControl w:val="0"/>
        <w:autoSpaceDE w:val="0"/>
        <w:autoSpaceDN w:val="0"/>
        <w:adjustRightInd w:val="0"/>
        <w:spacing w:after="240" w:line="360" w:lineRule="auto"/>
        <w:jc w:val="both"/>
        <w:rPr>
          <w:rFonts w:ascii="Arial" w:hAnsi="Arial" w:cs="Arial"/>
          <w:b/>
          <w:sz w:val="22"/>
          <w:lang w:val="en-AU"/>
        </w:rPr>
      </w:pPr>
      <w:r w:rsidRPr="00692ACE">
        <w:rPr>
          <w:rFonts w:ascii="Arial" w:hAnsi="Arial" w:cs="Arial"/>
          <w:b/>
          <w:sz w:val="22"/>
          <w:lang w:val="en-AU"/>
        </w:rPr>
        <w:t>Unfairness</w:t>
      </w:r>
    </w:p>
    <w:p w14:paraId="5EAE6988" w14:textId="77777777" w:rsidR="00635C2B" w:rsidRPr="00692ACE" w:rsidRDefault="00635C2B" w:rsidP="00A06B7C">
      <w:pPr>
        <w:pStyle w:val="NumberedParagraph"/>
        <w:ind w:left="567" w:hanging="567"/>
      </w:pPr>
      <w:r w:rsidRPr="00692ACE">
        <w:t xml:space="preserve">A term of </w:t>
      </w:r>
      <w:r>
        <w:t>in</w:t>
      </w:r>
      <w:r w:rsidRPr="00692ACE">
        <w:t xml:space="preserve"> a consumer </w:t>
      </w:r>
      <w:r>
        <w:t>or small business contract</w:t>
      </w:r>
      <w:r w:rsidRPr="00692ACE">
        <w:t xml:space="preserve"> is unfair if it:</w:t>
      </w:r>
    </w:p>
    <w:p w14:paraId="64137E37" w14:textId="77777777" w:rsidR="00635C2B" w:rsidRPr="00001329" w:rsidRDefault="00635C2B" w:rsidP="00A06B7C">
      <w:pPr>
        <w:pStyle w:val="ListParagraph"/>
        <w:widowControl w:val="0"/>
        <w:numPr>
          <w:ilvl w:val="1"/>
          <w:numId w:val="3"/>
        </w:numPr>
        <w:autoSpaceDE w:val="0"/>
        <w:autoSpaceDN w:val="0"/>
        <w:adjustRightInd w:val="0"/>
        <w:spacing w:after="240" w:line="360" w:lineRule="auto"/>
        <w:jc w:val="both"/>
        <w:rPr>
          <w:rFonts w:ascii="Arial" w:hAnsi="Arial" w:cs="Arial"/>
          <w:sz w:val="22"/>
          <w:szCs w:val="22"/>
          <w:lang w:val="en-AU"/>
        </w:rPr>
      </w:pPr>
      <w:r>
        <w:rPr>
          <w:rFonts w:ascii="Arial" w:hAnsi="Arial" w:cs="Arial"/>
          <w:sz w:val="22"/>
          <w:szCs w:val="22"/>
          <w:lang w:val="en-AU"/>
        </w:rPr>
        <w:t xml:space="preserve">would </w:t>
      </w:r>
      <w:r w:rsidRPr="00001329">
        <w:rPr>
          <w:rFonts w:ascii="Arial" w:hAnsi="Arial" w:cs="Arial"/>
          <w:sz w:val="22"/>
          <w:szCs w:val="22"/>
          <w:lang w:val="en-AU"/>
        </w:rPr>
        <w:t xml:space="preserve">cause a significant imbalance in the parties’ rights and obligations arising under the contract; </w:t>
      </w:r>
      <w:r>
        <w:rPr>
          <w:rFonts w:ascii="Arial" w:hAnsi="Arial" w:cs="Arial"/>
          <w:sz w:val="22"/>
          <w:szCs w:val="22"/>
          <w:lang w:val="en-AU"/>
        </w:rPr>
        <w:t>and</w:t>
      </w:r>
    </w:p>
    <w:p w14:paraId="5ADDEED4" w14:textId="77777777" w:rsidR="00635C2B" w:rsidRPr="00001329" w:rsidRDefault="00635C2B" w:rsidP="00A06B7C">
      <w:pPr>
        <w:pStyle w:val="ListParagraph"/>
        <w:widowControl w:val="0"/>
        <w:numPr>
          <w:ilvl w:val="1"/>
          <w:numId w:val="3"/>
        </w:numPr>
        <w:autoSpaceDE w:val="0"/>
        <w:autoSpaceDN w:val="0"/>
        <w:adjustRightInd w:val="0"/>
        <w:spacing w:after="240" w:line="360" w:lineRule="auto"/>
        <w:jc w:val="both"/>
        <w:rPr>
          <w:rFonts w:ascii="Arial" w:hAnsi="Arial" w:cs="Arial"/>
          <w:sz w:val="22"/>
          <w:szCs w:val="22"/>
          <w:lang w:val="en-AU"/>
        </w:rPr>
      </w:pPr>
      <w:r>
        <w:rPr>
          <w:rFonts w:ascii="Arial" w:hAnsi="Arial" w:cs="Arial"/>
          <w:sz w:val="22"/>
          <w:szCs w:val="22"/>
          <w:lang w:val="en-AU"/>
        </w:rPr>
        <w:t xml:space="preserve">is </w:t>
      </w:r>
      <w:r w:rsidRPr="00001329">
        <w:rPr>
          <w:rFonts w:ascii="Arial" w:hAnsi="Arial" w:cs="Arial"/>
          <w:sz w:val="22"/>
          <w:szCs w:val="22"/>
          <w:lang w:val="en-AU"/>
        </w:rPr>
        <w:t>not reasonably necessary to protect the legitimate interests of the party advantaged by the term; and</w:t>
      </w:r>
    </w:p>
    <w:p w14:paraId="0F20159B" w14:textId="77777777" w:rsidR="00635C2B" w:rsidRPr="00001329" w:rsidRDefault="00635C2B" w:rsidP="00A06B7C">
      <w:pPr>
        <w:pStyle w:val="ListParagraph"/>
        <w:widowControl w:val="0"/>
        <w:numPr>
          <w:ilvl w:val="1"/>
          <w:numId w:val="3"/>
        </w:numPr>
        <w:autoSpaceDE w:val="0"/>
        <w:autoSpaceDN w:val="0"/>
        <w:adjustRightInd w:val="0"/>
        <w:spacing w:after="240" w:line="360" w:lineRule="auto"/>
        <w:contextualSpacing w:val="0"/>
        <w:jc w:val="both"/>
        <w:rPr>
          <w:rFonts w:ascii="Arial" w:hAnsi="Arial" w:cs="Arial"/>
          <w:sz w:val="22"/>
          <w:szCs w:val="22"/>
          <w:lang w:val="en-AU"/>
        </w:rPr>
      </w:pPr>
      <w:r>
        <w:rPr>
          <w:rFonts w:ascii="Arial" w:hAnsi="Arial" w:cs="Arial"/>
          <w:sz w:val="22"/>
          <w:szCs w:val="22"/>
          <w:lang w:val="en-AU"/>
        </w:rPr>
        <w:t xml:space="preserve">would </w:t>
      </w:r>
      <w:r w:rsidRPr="00001329">
        <w:rPr>
          <w:rFonts w:ascii="Arial" w:hAnsi="Arial" w:cs="Arial"/>
          <w:sz w:val="22"/>
          <w:szCs w:val="22"/>
          <w:lang w:val="en-AU"/>
        </w:rPr>
        <w:t>cause detriment (whether financial or otherwise) to a party if it were to be applied or relied on.</w:t>
      </w:r>
      <w:r w:rsidRPr="00001329">
        <w:rPr>
          <w:rStyle w:val="FootnoteReference"/>
          <w:rFonts w:ascii="Arial" w:hAnsi="Arial" w:cs="Arial"/>
          <w:sz w:val="22"/>
          <w:szCs w:val="22"/>
          <w:lang w:val="en-AU"/>
        </w:rPr>
        <w:footnoteReference w:id="17"/>
      </w:r>
    </w:p>
    <w:p w14:paraId="5CE9A5F0" w14:textId="77777777" w:rsidR="00635C2B" w:rsidRPr="002C399A" w:rsidRDefault="00635C2B" w:rsidP="00A06B7C">
      <w:pPr>
        <w:pStyle w:val="NumberedParagraph"/>
        <w:ind w:left="567" w:hanging="567"/>
      </w:pPr>
      <w:r w:rsidRPr="00692ACE">
        <w:t xml:space="preserve">In determining whether a term </w:t>
      </w:r>
      <w:r>
        <w:t>in</w:t>
      </w:r>
      <w:r w:rsidRPr="00692ACE">
        <w:t xml:space="preserve"> a contract is unfair, a court may take into account such matters as it thinks relevant but must take into account:</w:t>
      </w:r>
    </w:p>
    <w:p w14:paraId="0A8FBEBC" w14:textId="77777777" w:rsidR="00635C2B" w:rsidRPr="00001329" w:rsidRDefault="00635C2B" w:rsidP="00A06B7C">
      <w:pPr>
        <w:pStyle w:val="ListParagraph"/>
        <w:widowControl w:val="0"/>
        <w:numPr>
          <w:ilvl w:val="1"/>
          <w:numId w:val="2"/>
        </w:numPr>
        <w:autoSpaceDE w:val="0"/>
        <w:autoSpaceDN w:val="0"/>
        <w:adjustRightInd w:val="0"/>
        <w:spacing w:after="240" w:line="360" w:lineRule="auto"/>
        <w:jc w:val="both"/>
        <w:rPr>
          <w:rFonts w:ascii="Arial" w:hAnsi="Arial" w:cs="Arial"/>
          <w:sz w:val="22"/>
          <w:szCs w:val="22"/>
          <w:lang w:val="en-AU"/>
        </w:rPr>
      </w:pPr>
      <w:r w:rsidRPr="00001329">
        <w:rPr>
          <w:rFonts w:ascii="Arial" w:hAnsi="Arial" w:cs="Arial"/>
          <w:sz w:val="22"/>
          <w:szCs w:val="22"/>
          <w:lang w:val="en-AU"/>
        </w:rPr>
        <w:t>the extent to which the term is transparent; and</w:t>
      </w:r>
    </w:p>
    <w:p w14:paraId="4794DDE8" w14:textId="77777777" w:rsidR="00635C2B" w:rsidRPr="00001329" w:rsidRDefault="00635C2B" w:rsidP="00A06B7C">
      <w:pPr>
        <w:pStyle w:val="ListParagraph"/>
        <w:widowControl w:val="0"/>
        <w:numPr>
          <w:ilvl w:val="1"/>
          <w:numId w:val="2"/>
        </w:numPr>
        <w:autoSpaceDE w:val="0"/>
        <w:autoSpaceDN w:val="0"/>
        <w:adjustRightInd w:val="0"/>
        <w:spacing w:after="240" w:line="360" w:lineRule="auto"/>
        <w:jc w:val="both"/>
        <w:rPr>
          <w:rFonts w:ascii="Arial" w:hAnsi="Arial" w:cs="Arial"/>
          <w:sz w:val="22"/>
          <w:szCs w:val="22"/>
          <w:lang w:val="en-AU"/>
        </w:rPr>
      </w:pPr>
      <w:r w:rsidRPr="00001329">
        <w:rPr>
          <w:rFonts w:ascii="Arial" w:hAnsi="Arial" w:cs="Arial"/>
          <w:sz w:val="22"/>
          <w:szCs w:val="22"/>
          <w:lang w:val="en-AU"/>
        </w:rPr>
        <w:t>the contract as a whole.</w:t>
      </w:r>
      <w:r w:rsidRPr="00001329">
        <w:rPr>
          <w:rStyle w:val="FootnoteReference"/>
          <w:rFonts w:ascii="Arial" w:hAnsi="Arial" w:cs="Arial"/>
          <w:sz w:val="22"/>
          <w:szCs w:val="22"/>
          <w:lang w:val="en-AU"/>
        </w:rPr>
        <w:footnoteReference w:id="18"/>
      </w:r>
    </w:p>
    <w:p w14:paraId="3511DC2F" w14:textId="77777777" w:rsidR="00635C2B" w:rsidRPr="00692ACE" w:rsidRDefault="00635C2B" w:rsidP="00A06B7C">
      <w:pPr>
        <w:pStyle w:val="NumberedParagraph"/>
        <w:ind w:left="567" w:hanging="567"/>
      </w:pPr>
      <w:r w:rsidRPr="00692ACE">
        <w:t>A term is transparent if it is:</w:t>
      </w:r>
    </w:p>
    <w:p w14:paraId="0938B4D2" w14:textId="77777777" w:rsidR="00635C2B" w:rsidRPr="00001329" w:rsidRDefault="00635C2B" w:rsidP="00A06B7C">
      <w:pPr>
        <w:pStyle w:val="ListParagraph"/>
        <w:widowControl w:val="0"/>
        <w:numPr>
          <w:ilvl w:val="1"/>
          <w:numId w:val="4"/>
        </w:numPr>
        <w:autoSpaceDE w:val="0"/>
        <w:autoSpaceDN w:val="0"/>
        <w:adjustRightInd w:val="0"/>
        <w:spacing w:after="240" w:line="360" w:lineRule="auto"/>
        <w:jc w:val="both"/>
        <w:rPr>
          <w:rFonts w:ascii="Arial" w:hAnsi="Arial" w:cs="Arial"/>
          <w:sz w:val="22"/>
          <w:szCs w:val="22"/>
          <w:lang w:val="en-AU"/>
        </w:rPr>
      </w:pPr>
      <w:r w:rsidRPr="00001329">
        <w:rPr>
          <w:rFonts w:ascii="Arial" w:hAnsi="Arial" w:cs="Arial"/>
          <w:sz w:val="22"/>
          <w:szCs w:val="22"/>
          <w:lang w:val="en-AU"/>
        </w:rPr>
        <w:lastRenderedPageBreak/>
        <w:t>expressed in reasonably plain language;</w:t>
      </w:r>
    </w:p>
    <w:p w14:paraId="5F7D832D" w14:textId="77777777" w:rsidR="00635C2B" w:rsidRPr="00001329" w:rsidRDefault="00635C2B" w:rsidP="00A06B7C">
      <w:pPr>
        <w:pStyle w:val="ListParagraph"/>
        <w:widowControl w:val="0"/>
        <w:numPr>
          <w:ilvl w:val="1"/>
          <w:numId w:val="4"/>
        </w:numPr>
        <w:autoSpaceDE w:val="0"/>
        <w:autoSpaceDN w:val="0"/>
        <w:adjustRightInd w:val="0"/>
        <w:spacing w:after="240" w:line="360" w:lineRule="auto"/>
        <w:jc w:val="both"/>
        <w:rPr>
          <w:rFonts w:ascii="Arial" w:hAnsi="Arial" w:cs="Arial"/>
          <w:sz w:val="22"/>
          <w:szCs w:val="22"/>
          <w:lang w:val="en-AU"/>
        </w:rPr>
      </w:pPr>
      <w:r w:rsidRPr="00001329">
        <w:rPr>
          <w:rFonts w:ascii="Arial" w:hAnsi="Arial" w:cs="Arial"/>
          <w:sz w:val="22"/>
          <w:szCs w:val="22"/>
          <w:lang w:val="en-AU"/>
        </w:rPr>
        <w:t>legible;</w:t>
      </w:r>
    </w:p>
    <w:p w14:paraId="6D1E3999" w14:textId="77777777" w:rsidR="00635C2B" w:rsidRPr="00001329" w:rsidRDefault="00635C2B" w:rsidP="00A06B7C">
      <w:pPr>
        <w:pStyle w:val="ListParagraph"/>
        <w:widowControl w:val="0"/>
        <w:numPr>
          <w:ilvl w:val="1"/>
          <w:numId w:val="4"/>
        </w:numPr>
        <w:autoSpaceDE w:val="0"/>
        <w:autoSpaceDN w:val="0"/>
        <w:adjustRightInd w:val="0"/>
        <w:spacing w:after="240" w:line="360" w:lineRule="auto"/>
        <w:jc w:val="both"/>
        <w:rPr>
          <w:rFonts w:ascii="Arial" w:hAnsi="Arial" w:cs="Arial"/>
          <w:sz w:val="22"/>
          <w:szCs w:val="22"/>
          <w:lang w:val="en-AU"/>
        </w:rPr>
      </w:pPr>
      <w:r w:rsidRPr="00001329">
        <w:rPr>
          <w:rFonts w:ascii="Arial" w:hAnsi="Arial" w:cs="Arial"/>
          <w:sz w:val="22"/>
          <w:szCs w:val="22"/>
          <w:lang w:val="en-AU"/>
        </w:rPr>
        <w:t>presented clearly; and</w:t>
      </w:r>
    </w:p>
    <w:p w14:paraId="3B94A422" w14:textId="77777777" w:rsidR="00635C2B" w:rsidRPr="00001329" w:rsidRDefault="00635C2B" w:rsidP="00A06B7C">
      <w:pPr>
        <w:pStyle w:val="ListParagraph"/>
        <w:widowControl w:val="0"/>
        <w:numPr>
          <w:ilvl w:val="1"/>
          <w:numId w:val="4"/>
        </w:numPr>
        <w:autoSpaceDE w:val="0"/>
        <w:autoSpaceDN w:val="0"/>
        <w:adjustRightInd w:val="0"/>
        <w:spacing w:after="240" w:line="360" w:lineRule="auto"/>
        <w:jc w:val="both"/>
        <w:rPr>
          <w:rFonts w:ascii="Arial" w:hAnsi="Arial" w:cs="Arial"/>
          <w:sz w:val="22"/>
          <w:szCs w:val="22"/>
          <w:lang w:val="en-AU"/>
        </w:rPr>
      </w:pPr>
      <w:r w:rsidRPr="00001329">
        <w:rPr>
          <w:rFonts w:ascii="Arial" w:hAnsi="Arial" w:cs="Arial"/>
          <w:sz w:val="22"/>
          <w:szCs w:val="22"/>
          <w:lang w:val="en-AU"/>
        </w:rPr>
        <w:t>readily available to any party affected by the term.</w:t>
      </w:r>
      <w:r w:rsidRPr="00001329">
        <w:rPr>
          <w:rStyle w:val="FootnoteReference"/>
          <w:rFonts w:ascii="Arial" w:hAnsi="Arial" w:cs="Arial"/>
          <w:sz w:val="22"/>
          <w:szCs w:val="22"/>
          <w:lang w:val="en-AU"/>
        </w:rPr>
        <w:footnoteReference w:id="19"/>
      </w:r>
    </w:p>
    <w:p w14:paraId="50698870" w14:textId="77777777" w:rsidR="00635C2B" w:rsidRPr="00692ACE" w:rsidRDefault="00635C2B" w:rsidP="00A06B7C">
      <w:pPr>
        <w:pStyle w:val="NumberedParagraph"/>
        <w:ind w:left="567" w:hanging="567"/>
      </w:pPr>
      <w:r w:rsidRPr="00692ACE">
        <w:t xml:space="preserve">There is a rebuttable statutory presumption that a term </w:t>
      </w:r>
      <w:r>
        <w:t>in</w:t>
      </w:r>
      <w:r w:rsidRPr="00692ACE">
        <w:t xml:space="preserve"> a consumer contract is not reasonably necessary to protect the legitimate interest of the party advantaged by the term.</w:t>
      </w:r>
      <w:r w:rsidRPr="00692ACE">
        <w:rPr>
          <w:rStyle w:val="FootnoteReference"/>
          <w:rFonts w:cs="Arial"/>
        </w:rPr>
        <w:footnoteReference w:id="20"/>
      </w:r>
    </w:p>
    <w:p w14:paraId="7BA41397" w14:textId="77777777" w:rsidR="00635C2B" w:rsidRPr="00692ACE" w:rsidRDefault="00635C2B" w:rsidP="00A06B7C">
      <w:pPr>
        <w:widowControl w:val="0"/>
        <w:autoSpaceDE w:val="0"/>
        <w:autoSpaceDN w:val="0"/>
        <w:adjustRightInd w:val="0"/>
        <w:spacing w:after="240" w:line="360" w:lineRule="auto"/>
        <w:jc w:val="both"/>
        <w:rPr>
          <w:rFonts w:ascii="Arial" w:hAnsi="Arial" w:cs="Arial"/>
          <w:b/>
          <w:sz w:val="22"/>
          <w:lang w:val="en-AU"/>
        </w:rPr>
      </w:pPr>
      <w:r w:rsidRPr="00692ACE">
        <w:rPr>
          <w:rFonts w:ascii="Arial" w:hAnsi="Arial" w:cs="Arial"/>
          <w:b/>
          <w:sz w:val="22"/>
          <w:lang w:val="en-AU"/>
        </w:rPr>
        <w:t>Exempt terms</w:t>
      </w:r>
    </w:p>
    <w:p w14:paraId="60907F11" w14:textId="77777777" w:rsidR="00635C2B" w:rsidRPr="00692ACE" w:rsidRDefault="00635C2B" w:rsidP="00A06B7C">
      <w:pPr>
        <w:pStyle w:val="NumberedParagraph"/>
        <w:ind w:left="567" w:hanging="567"/>
        <w:rPr>
          <w:color w:val="0000FF"/>
        </w:rPr>
      </w:pPr>
      <w:r w:rsidRPr="00692ACE">
        <w:t>The unfair term provisions do not apply to a term that:</w:t>
      </w:r>
    </w:p>
    <w:p w14:paraId="226788B8" w14:textId="77777777" w:rsidR="00635C2B" w:rsidRPr="00001329" w:rsidRDefault="00635C2B" w:rsidP="00A06B7C">
      <w:pPr>
        <w:pStyle w:val="ListParagraph"/>
        <w:widowControl w:val="0"/>
        <w:numPr>
          <w:ilvl w:val="1"/>
          <w:numId w:val="6"/>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 xml:space="preserve">defines the main subject matter of the contract; </w:t>
      </w:r>
    </w:p>
    <w:p w14:paraId="78F4B0A4" w14:textId="77777777" w:rsidR="00635C2B" w:rsidRPr="00001329" w:rsidRDefault="00635C2B" w:rsidP="00A06B7C">
      <w:pPr>
        <w:pStyle w:val="ListParagraph"/>
        <w:widowControl w:val="0"/>
        <w:numPr>
          <w:ilvl w:val="1"/>
          <w:numId w:val="6"/>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 xml:space="preserve">sets the upfront price payable under the contract; or </w:t>
      </w:r>
    </w:p>
    <w:p w14:paraId="5E296D73" w14:textId="77777777" w:rsidR="00635C2B" w:rsidRPr="00001329" w:rsidRDefault="00635C2B" w:rsidP="00A06B7C">
      <w:pPr>
        <w:pStyle w:val="ListParagraph"/>
        <w:widowControl w:val="0"/>
        <w:numPr>
          <w:ilvl w:val="1"/>
          <w:numId w:val="6"/>
        </w:numPr>
        <w:autoSpaceDE w:val="0"/>
        <w:autoSpaceDN w:val="0"/>
        <w:adjustRightInd w:val="0"/>
        <w:spacing w:after="240" w:line="360" w:lineRule="auto"/>
        <w:contextualSpacing w:val="0"/>
        <w:jc w:val="both"/>
        <w:rPr>
          <w:rFonts w:ascii="Arial" w:hAnsi="Arial" w:cs="Arial"/>
          <w:color w:val="0000FF"/>
          <w:sz w:val="22"/>
          <w:szCs w:val="22"/>
          <w:lang w:val="en-AU"/>
        </w:rPr>
      </w:pPr>
      <w:r w:rsidRPr="00001329">
        <w:rPr>
          <w:rFonts w:ascii="Arial" w:hAnsi="Arial" w:cs="Arial"/>
          <w:sz w:val="22"/>
          <w:szCs w:val="22"/>
          <w:lang w:val="en-AU"/>
        </w:rPr>
        <w:t>is required or expressly permitted by law.</w:t>
      </w:r>
      <w:r w:rsidRPr="00001329">
        <w:rPr>
          <w:rStyle w:val="FootnoteReference"/>
          <w:rFonts w:ascii="Arial" w:hAnsi="Arial" w:cs="Arial"/>
          <w:sz w:val="22"/>
          <w:szCs w:val="22"/>
          <w:lang w:val="en-AU"/>
        </w:rPr>
        <w:footnoteReference w:id="21"/>
      </w:r>
    </w:p>
    <w:p w14:paraId="7658C7F0" w14:textId="77777777" w:rsidR="00635C2B" w:rsidRPr="00692ACE" w:rsidRDefault="00635C2B" w:rsidP="00A06B7C">
      <w:pPr>
        <w:pStyle w:val="NumberedParagraph"/>
        <w:ind w:left="567" w:hanging="567"/>
        <w:rPr>
          <w:color w:val="0000FF"/>
        </w:rPr>
      </w:pPr>
      <w:r w:rsidRPr="00692ACE">
        <w:t>The upfront price is the consideration that is provided for the supply, sale or grant under the contract and is disclosed at or before the time the contract is entered into but does not include any other consideration that is contingent on the occurrence or non-occurrence of a particular event.</w:t>
      </w:r>
      <w:r w:rsidRPr="00692ACE">
        <w:rPr>
          <w:rStyle w:val="FootnoteReference"/>
          <w:rFonts w:cs="Arial"/>
        </w:rPr>
        <w:footnoteReference w:id="22"/>
      </w:r>
    </w:p>
    <w:p w14:paraId="46FB495C" w14:textId="77777777" w:rsidR="00635C2B" w:rsidRPr="00692ACE" w:rsidRDefault="00635C2B" w:rsidP="00A06B7C">
      <w:pPr>
        <w:widowControl w:val="0"/>
        <w:autoSpaceDE w:val="0"/>
        <w:autoSpaceDN w:val="0"/>
        <w:adjustRightInd w:val="0"/>
        <w:spacing w:after="240" w:line="360" w:lineRule="auto"/>
        <w:jc w:val="both"/>
        <w:rPr>
          <w:rFonts w:ascii="Arial" w:hAnsi="Arial" w:cs="Arial"/>
          <w:b/>
          <w:sz w:val="22"/>
          <w:lang w:val="en-AU"/>
        </w:rPr>
      </w:pPr>
      <w:r w:rsidRPr="00692ACE">
        <w:rPr>
          <w:rFonts w:ascii="Arial" w:hAnsi="Arial" w:cs="Arial"/>
          <w:b/>
          <w:sz w:val="22"/>
          <w:lang w:val="en-AU"/>
        </w:rPr>
        <w:t>Standard form contract</w:t>
      </w:r>
    </w:p>
    <w:p w14:paraId="313A1BF9" w14:textId="77777777" w:rsidR="00635C2B" w:rsidRPr="00692ACE" w:rsidRDefault="00635C2B" w:rsidP="00A06B7C">
      <w:pPr>
        <w:pStyle w:val="NumberedParagraph"/>
        <w:ind w:left="567" w:hanging="567"/>
      </w:pPr>
      <w:r w:rsidRPr="00692ACE">
        <w:t>If a party to a proceeding alleges that a contract is a standard form contract, it is presumed to be a standard form contract unless another party to the proceeding proves otherwise.</w:t>
      </w:r>
      <w:r w:rsidRPr="00692ACE">
        <w:rPr>
          <w:rStyle w:val="FootnoteReference"/>
          <w:rFonts w:cs="Arial"/>
        </w:rPr>
        <w:footnoteReference w:id="23"/>
      </w:r>
    </w:p>
    <w:p w14:paraId="1D4FF939" w14:textId="77777777" w:rsidR="00635C2B" w:rsidRPr="00692ACE" w:rsidRDefault="00635C2B" w:rsidP="00A06B7C">
      <w:pPr>
        <w:pStyle w:val="NumberedParagraph"/>
        <w:ind w:left="567" w:hanging="567"/>
      </w:pPr>
      <w:r w:rsidRPr="00692ACE">
        <w:t>In determining whether a contract is a standard form contract, a court may take into account such matters as it thinks relevant but must take into account:</w:t>
      </w:r>
    </w:p>
    <w:p w14:paraId="2018CA6A" w14:textId="77777777" w:rsidR="00635C2B" w:rsidRPr="00C11524" w:rsidRDefault="00635C2B" w:rsidP="00A06B7C">
      <w:pPr>
        <w:pStyle w:val="ListParagraph"/>
        <w:widowControl w:val="0"/>
        <w:numPr>
          <w:ilvl w:val="1"/>
          <w:numId w:val="5"/>
        </w:numPr>
        <w:autoSpaceDE w:val="0"/>
        <w:autoSpaceDN w:val="0"/>
        <w:adjustRightInd w:val="0"/>
        <w:spacing w:after="240" w:line="360" w:lineRule="auto"/>
        <w:jc w:val="both"/>
        <w:rPr>
          <w:rFonts w:ascii="Arial" w:hAnsi="Arial" w:cs="Arial"/>
          <w:sz w:val="22"/>
          <w:szCs w:val="22"/>
          <w:lang w:val="en-AU"/>
        </w:rPr>
      </w:pPr>
      <w:r w:rsidRPr="00C11524">
        <w:rPr>
          <w:rFonts w:ascii="Arial" w:hAnsi="Arial" w:cs="Arial"/>
          <w:sz w:val="22"/>
          <w:szCs w:val="22"/>
          <w:lang w:val="en-AU"/>
        </w:rPr>
        <w:t>whether one of the parties has all or most of the bargaining power in the transaction;</w:t>
      </w:r>
    </w:p>
    <w:p w14:paraId="7219FBA7" w14:textId="77777777" w:rsidR="00635C2B" w:rsidRPr="00C11524" w:rsidRDefault="00635C2B" w:rsidP="00A06B7C">
      <w:pPr>
        <w:pStyle w:val="ListParagraph"/>
        <w:widowControl w:val="0"/>
        <w:numPr>
          <w:ilvl w:val="1"/>
          <w:numId w:val="5"/>
        </w:numPr>
        <w:autoSpaceDE w:val="0"/>
        <w:autoSpaceDN w:val="0"/>
        <w:adjustRightInd w:val="0"/>
        <w:spacing w:after="240" w:line="360" w:lineRule="auto"/>
        <w:jc w:val="both"/>
        <w:rPr>
          <w:rFonts w:ascii="Arial" w:hAnsi="Arial" w:cs="Arial"/>
          <w:sz w:val="22"/>
          <w:szCs w:val="22"/>
          <w:lang w:val="en-AU"/>
        </w:rPr>
      </w:pPr>
      <w:r w:rsidRPr="00C11524">
        <w:rPr>
          <w:rFonts w:ascii="Arial" w:hAnsi="Arial" w:cs="Arial"/>
          <w:sz w:val="22"/>
          <w:szCs w:val="22"/>
          <w:lang w:val="en-AU"/>
        </w:rPr>
        <w:t>whether the contract was prepared by one party before any discussion of the transaction occurred among the parties;</w:t>
      </w:r>
    </w:p>
    <w:p w14:paraId="69D829E1" w14:textId="77777777" w:rsidR="00635C2B" w:rsidRPr="00C11524" w:rsidRDefault="00635C2B" w:rsidP="00A06B7C">
      <w:pPr>
        <w:pStyle w:val="ListParagraph"/>
        <w:widowControl w:val="0"/>
        <w:numPr>
          <w:ilvl w:val="1"/>
          <w:numId w:val="5"/>
        </w:numPr>
        <w:autoSpaceDE w:val="0"/>
        <w:autoSpaceDN w:val="0"/>
        <w:adjustRightInd w:val="0"/>
        <w:spacing w:after="240" w:line="360" w:lineRule="auto"/>
        <w:jc w:val="both"/>
        <w:rPr>
          <w:rFonts w:ascii="Arial" w:hAnsi="Arial" w:cs="Arial"/>
          <w:sz w:val="22"/>
          <w:szCs w:val="22"/>
          <w:lang w:val="en-AU"/>
        </w:rPr>
      </w:pPr>
      <w:r w:rsidRPr="00C11524">
        <w:rPr>
          <w:rFonts w:ascii="Arial" w:hAnsi="Arial" w:cs="Arial"/>
          <w:sz w:val="22"/>
          <w:szCs w:val="22"/>
          <w:lang w:val="en-AU"/>
        </w:rPr>
        <w:t xml:space="preserve">whether another party was, in effect, required either to accept or reject the terms </w:t>
      </w:r>
      <w:r w:rsidRPr="00C11524">
        <w:rPr>
          <w:rFonts w:ascii="Arial" w:hAnsi="Arial" w:cs="Arial"/>
          <w:sz w:val="22"/>
          <w:szCs w:val="22"/>
          <w:lang w:val="en-AU"/>
        </w:rPr>
        <w:lastRenderedPageBreak/>
        <w:t>of the contract (other than the exempt terms) in the form in which they were presented;</w:t>
      </w:r>
    </w:p>
    <w:p w14:paraId="24CB9274" w14:textId="77777777" w:rsidR="00635C2B" w:rsidRPr="00C11524" w:rsidRDefault="00635C2B" w:rsidP="00A06B7C">
      <w:pPr>
        <w:pStyle w:val="ListParagraph"/>
        <w:widowControl w:val="0"/>
        <w:numPr>
          <w:ilvl w:val="1"/>
          <w:numId w:val="5"/>
        </w:numPr>
        <w:autoSpaceDE w:val="0"/>
        <w:autoSpaceDN w:val="0"/>
        <w:adjustRightInd w:val="0"/>
        <w:spacing w:after="240" w:line="360" w:lineRule="auto"/>
        <w:jc w:val="both"/>
        <w:rPr>
          <w:rFonts w:ascii="Arial" w:hAnsi="Arial" w:cs="Arial"/>
          <w:sz w:val="22"/>
          <w:szCs w:val="22"/>
          <w:lang w:val="en-AU"/>
        </w:rPr>
      </w:pPr>
      <w:r w:rsidRPr="00C11524">
        <w:rPr>
          <w:rFonts w:ascii="Arial" w:hAnsi="Arial" w:cs="Arial"/>
          <w:sz w:val="22"/>
          <w:szCs w:val="22"/>
          <w:lang w:val="en-AU"/>
        </w:rPr>
        <w:t>whether another party was given an effective opportunity to negotiate the terms of the contract, other than the exempt terms;</w:t>
      </w:r>
    </w:p>
    <w:p w14:paraId="30BE2D54" w14:textId="77777777" w:rsidR="00635C2B" w:rsidRPr="00C11524" w:rsidRDefault="00635C2B" w:rsidP="00A06B7C">
      <w:pPr>
        <w:pStyle w:val="ListParagraph"/>
        <w:widowControl w:val="0"/>
        <w:numPr>
          <w:ilvl w:val="1"/>
          <w:numId w:val="5"/>
        </w:numPr>
        <w:autoSpaceDE w:val="0"/>
        <w:autoSpaceDN w:val="0"/>
        <w:adjustRightInd w:val="0"/>
        <w:spacing w:after="240" w:line="360" w:lineRule="auto"/>
        <w:jc w:val="both"/>
        <w:rPr>
          <w:rFonts w:ascii="Arial" w:hAnsi="Arial" w:cs="Arial"/>
          <w:sz w:val="22"/>
          <w:szCs w:val="22"/>
          <w:lang w:val="en-AU"/>
        </w:rPr>
      </w:pPr>
      <w:r w:rsidRPr="00C11524">
        <w:rPr>
          <w:rFonts w:ascii="Arial" w:hAnsi="Arial" w:cs="Arial"/>
          <w:sz w:val="22"/>
          <w:szCs w:val="22"/>
          <w:lang w:val="en-AU"/>
        </w:rPr>
        <w:t>whether the terms of the contract (other than the exempt terms) take into account the specific characteristics of another party or the particular transaction; and</w:t>
      </w:r>
    </w:p>
    <w:p w14:paraId="0ADDCA68" w14:textId="77777777" w:rsidR="00635C2B" w:rsidRPr="00991DA9" w:rsidRDefault="00635C2B" w:rsidP="00A06B7C">
      <w:pPr>
        <w:pStyle w:val="ListParagraph"/>
        <w:widowControl w:val="0"/>
        <w:numPr>
          <w:ilvl w:val="1"/>
          <w:numId w:val="5"/>
        </w:numPr>
        <w:autoSpaceDE w:val="0"/>
        <w:autoSpaceDN w:val="0"/>
        <w:adjustRightInd w:val="0"/>
        <w:spacing w:after="240" w:line="360" w:lineRule="auto"/>
        <w:contextualSpacing w:val="0"/>
        <w:jc w:val="both"/>
        <w:rPr>
          <w:rFonts w:ascii="Arial" w:hAnsi="Arial" w:cs="Arial"/>
          <w:b/>
          <w:sz w:val="22"/>
          <w:lang w:val="en-AU"/>
        </w:rPr>
      </w:pPr>
      <w:r w:rsidRPr="00C11524">
        <w:rPr>
          <w:rFonts w:ascii="Arial" w:hAnsi="Arial" w:cs="Arial"/>
          <w:sz w:val="22"/>
          <w:szCs w:val="22"/>
          <w:lang w:val="en-AU"/>
        </w:rPr>
        <w:t>any other matter prescribed by regulations.</w:t>
      </w:r>
      <w:r w:rsidRPr="00C11524">
        <w:rPr>
          <w:rStyle w:val="FootnoteReference"/>
          <w:rFonts w:ascii="Arial" w:hAnsi="Arial" w:cs="Arial"/>
          <w:sz w:val="22"/>
          <w:szCs w:val="22"/>
          <w:lang w:val="en-AU"/>
        </w:rPr>
        <w:footnoteReference w:id="24"/>
      </w:r>
    </w:p>
    <w:p w14:paraId="79AAB7EB" w14:textId="70441D39" w:rsidR="00991DA9" w:rsidRPr="00991DA9" w:rsidRDefault="00991DA9" w:rsidP="00A06B7C">
      <w:pPr>
        <w:pStyle w:val="NumberedParagraph"/>
        <w:ind w:left="567" w:hanging="567"/>
        <w:rPr>
          <w:rFonts w:cs="Arial"/>
          <w:b/>
        </w:rPr>
      </w:pPr>
      <w:r>
        <w:rPr>
          <w:rFonts w:cs="Arial"/>
        </w:rPr>
        <w:t xml:space="preserve">Under changes </w:t>
      </w:r>
      <w:r w:rsidR="006469F2">
        <w:rPr>
          <w:rFonts w:cs="Arial"/>
        </w:rPr>
        <w:t xml:space="preserve">made </w:t>
      </w:r>
      <w:r w:rsidR="0055467A">
        <w:rPr>
          <w:rFonts w:cs="Arial"/>
        </w:rPr>
        <w:t>by the</w:t>
      </w:r>
      <w:r>
        <w:rPr>
          <w:rFonts w:cs="Arial"/>
        </w:rPr>
        <w:t xml:space="preserve"> Amendment </w:t>
      </w:r>
      <w:r w:rsidR="006469F2">
        <w:rPr>
          <w:rFonts w:cs="Arial"/>
        </w:rPr>
        <w:t>Act</w:t>
      </w:r>
      <w:r>
        <w:rPr>
          <w:rFonts w:cs="Arial"/>
        </w:rPr>
        <w:t xml:space="preserve">, in addition to the matters set out above, a court must also </w:t>
      </w:r>
      <w:proofErr w:type="gramStart"/>
      <w:r>
        <w:rPr>
          <w:rFonts w:cs="Arial"/>
        </w:rPr>
        <w:t>take into account</w:t>
      </w:r>
      <w:proofErr w:type="gramEnd"/>
      <w:r>
        <w:rPr>
          <w:rFonts w:cs="Arial"/>
        </w:rPr>
        <w:t xml:space="preserve"> whether one of the parties has used the same or a similar contract before. In addition, a contract may be determined to be a standard form contract despite there being an opportunity for:</w:t>
      </w:r>
    </w:p>
    <w:p w14:paraId="255E9ECB" w14:textId="77777777" w:rsidR="00991DA9" w:rsidRPr="00991DA9" w:rsidRDefault="00991DA9" w:rsidP="00A06B7C">
      <w:pPr>
        <w:pStyle w:val="NumberedParagraph"/>
        <w:numPr>
          <w:ilvl w:val="1"/>
          <w:numId w:val="1"/>
        </w:numPr>
        <w:spacing w:line="276" w:lineRule="auto"/>
        <w:rPr>
          <w:rFonts w:cs="Arial"/>
        </w:rPr>
      </w:pPr>
      <w:r w:rsidRPr="00991DA9">
        <w:rPr>
          <w:rFonts w:cs="Arial"/>
        </w:rPr>
        <w:t>a party to negotiate changes to contract terms that are minor or insubstantial in effect;</w:t>
      </w:r>
    </w:p>
    <w:p w14:paraId="39FEA54B" w14:textId="77777777" w:rsidR="00991DA9" w:rsidRPr="00991DA9" w:rsidRDefault="00991DA9" w:rsidP="00A06B7C">
      <w:pPr>
        <w:pStyle w:val="NumberedParagraph"/>
        <w:numPr>
          <w:ilvl w:val="1"/>
          <w:numId w:val="1"/>
        </w:numPr>
        <w:spacing w:line="276" w:lineRule="auto"/>
        <w:rPr>
          <w:rFonts w:cs="Arial"/>
        </w:rPr>
      </w:pPr>
      <w:r w:rsidRPr="00991DA9">
        <w:rPr>
          <w:rFonts w:cs="Arial"/>
        </w:rPr>
        <w:t>a party to select a term from a range of options determined by another party; or</w:t>
      </w:r>
    </w:p>
    <w:p w14:paraId="7917F606" w14:textId="3F4E19F6" w:rsidR="00991DA9" w:rsidRPr="00991DA9" w:rsidRDefault="00991DA9" w:rsidP="00A06B7C">
      <w:pPr>
        <w:pStyle w:val="NumberedParagraph"/>
        <w:numPr>
          <w:ilvl w:val="1"/>
          <w:numId w:val="1"/>
        </w:numPr>
        <w:spacing w:line="276" w:lineRule="auto"/>
        <w:rPr>
          <w:rFonts w:cs="Arial"/>
        </w:rPr>
      </w:pPr>
      <w:r w:rsidRPr="00991DA9">
        <w:rPr>
          <w:rFonts w:cs="Arial"/>
        </w:rPr>
        <w:t>a party to another contract or proposed contract to negotiate terms of the other contract or proposed contract.</w:t>
      </w:r>
      <w:r w:rsidR="00FC6145">
        <w:rPr>
          <w:rStyle w:val="FootnoteReference"/>
          <w:rFonts w:cs="Arial"/>
        </w:rPr>
        <w:footnoteReference w:id="25"/>
      </w:r>
    </w:p>
    <w:p w14:paraId="274644D5" w14:textId="77777777" w:rsidR="00635C2B" w:rsidRPr="00692ACE" w:rsidRDefault="00635C2B" w:rsidP="00A06B7C">
      <w:pPr>
        <w:widowControl w:val="0"/>
        <w:autoSpaceDE w:val="0"/>
        <w:autoSpaceDN w:val="0"/>
        <w:adjustRightInd w:val="0"/>
        <w:spacing w:after="240" w:line="360" w:lineRule="auto"/>
        <w:jc w:val="both"/>
        <w:rPr>
          <w:rFonts w:ascii="Arial" w:hAnsi="Arial" w:cs="Arial"/>
          <w:b/>
          <w:sz w:val="22"/>
          <w:lang w:val="en-AU"/>
        </w:rPr>
      </w:pPr>
      <w:r w:rsidRPr="00692ACE">
        <w:rPr>
          <w:rFonts w:ascii="Arial" w:hAnsi="Arial" w:cs="Arial"/>
          <w:b/>
          <w:sz w:val="22"/>
          <w:lang w:val="en-AU"/>
        </w:rPr>
        <w:t xml:space="preserve">Grey list of terms </w:t>
      </w:r>
    </w:p>
    <w:p w14:paraId="4DCB7492" w14:textId="77777777" w:rsidR="00635C2B" w:rsidRPr="00692ACE" w:rsidRDefault="00635C2B" w:rsidP="00A06B7C">
      <w:pPr>
        <w:pStyle w:val="NumberedParagraph"/>
        <w:ind w:left="567" w:hanging="567"/>
        <w:rPr>
          <w:color w:val="0000FF"/>
        </w:rPr>
      </w:pPr>
      <w:r w:rsidRPr="00692ACE">
        <w:t>The UCTL provides a number of examples of the terms in a consumer contract that might be unfair:</w:t>
      </w:r>
    </w:p>
    <w:p w14:paraId="1143F309"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permits or has the effect of permitting one party (but not another party) to avoid or limit performance of the contract;</w:t>
      </w:r>
    </w:p>
    <w:p w14:paraId="76CF6C9E"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permits or has the effect of permitting one party (but not another party) to terminate the contract;</w:t>
      </w:r>
    </w:p>
    <w:p w14:paraId="0E86ED20"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penalises or has the effect of penalising one party (but not another party) for a breach or termination of the contract;</w:t>
      </w:r>
    </w:p>
    <w:p w14:paraId="6943A4B0"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permits or has the effect of permitting one party (but not another party) to vary the terms of the contract;</w:t>
      </w:r>
    </w:p>
    <w:p w14:paraId="6311D963"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permits or has the effect of permitting one party (but not another party) to renew or not renew the contract;</w:t>
      </w:r>
    </w:p>
    <w:p w14:paraId="3ECDA8EB"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 xml:space="preserve">a term that permits or has the effect of permitting one party to vary the upfront </w:t>
      </w:r>
      <w:r w:rsidRPr="00001329">
        <w:rPr>
          <w:rFonts w:ascii="Arial" w:hAnsi="Arial" w:cs="Arial"/>
          <w:sz w:val="22"/>
          <w:szCs w:val="22"/>
          <w:lang w:val="en-AU"/>
        </w:rPr>
        <w:lastRenderedPageBreak/>
        <w:t>price payable under the contract without permitting the other party the right to terminate the contract;</w:t>
      </w:r>
    </w:p>
    <w:p w14:paraId="72D6262C"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permits or has the effect of permitting one party to unilaterally vary the characteristics of the goods or services to be supplied or the interest in land to be sold or granted under the contract;</w:t>
      </w:r>
    </w:p>
    <w:p w14:paraId="1C8347EB"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permits or has the effect of permitting one party to unilaterally determine whether the contract has been breached or to interpret its meaning;</w:t>
      </w:r>
    </w:p>
    <w:p w14:paraId="736AC56E"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limits or has the effect of limiting one party’s vicarious liability for its agents;</w:t>
      </w:r>
    </w:p>
    <w:p w14:paraId="6224FC9A"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permits or has the effect of permitting one party to assign the contract to the detriment of another party without that party’s consent;</w:t>
      </w:r>
    </w:p>
    <w:p w14:paraId="3FFB92A9"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limits or has the effect of limiting one party’s right to sue another party;</w:t>
      </w:r>
    </w:p>
    <w:p w14:paraId="31363AC2"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limits or has the effect of limiting the evidence one party can adduce in proceedings relating to the contract;</w:t>
      </w:r>
    </w:p>
    <w:p w14:paraId="0878E465"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jc w:val="both"/>
        <w:rPr>
          <w:rFonts w:ascii="Arial" w:hAnsi="Arial" w:cs="Arial"/>
          <w:color w:val="0000FF"/>
          <w:sz w:val="22"/>
          <w:szCs w:val="22"/>
          <w:lang w:val="en-AU"/>
        </w:rPr>
      </w:pPr>
      <w:r w:rsidRPr="00001329">
        <w:rPr>
          <w:rFonts w:ascii="Arial" w:hAnsi="Arial" w:cs="Arial"/>
          <w:sz w:val="22"/>
          <w:szCs w:val="22"/>
          <w:lang w:val="en-AU"/>
        </w:rPr>
        <w:t>a term that imposes or has the effect of imposing the evidential burden on one party in proceedings relating to the contract; and</w:t>
      </w:r>
    </w:p>
    <w:p w14:paraId="20DEA7D9" w14:textId="77777777" w:rsidR="00635C2B" w:rsidRPr="00001329" w:rsidRDefault="00635C2B" w:rsidP="00A06B7C">
      <w:pPr>
        <w:pStyle w:val="ListParagraph"/>
        <w:widowControl w:val="0"/>
        <w:numPr>
          <w:ilvl w:val="1"/>
          <w:numId w:val="7"/>
        </w:numPr>
        <w:autoSpaceDE w:val="0"/>
        <w:autoSpaceDN w:val="0"/>
        <w:adjustRightInd w:val="0"/>
        <w:spacing w:after="240" w:line="360" w:lineRule="auto"/>
        <w:contextualSpacing w:val="0"/>
        <w:jc w:val="both"/>
        <w:rPr>
          <w:rFonts w:ascii="Arial" w:hAnsi="Arial" w:cs="Arial"/>
          <w:color w:val="0000FF"/>
          <w:sz w:val="22"/>
          <w:szCs w:val="22"/>
          <w:lang w:val="en-AU"/>
        </w:rPr>
      </w:pPr>
      <w:r w:rsidRPr="00001329">
        <w:rPr>
          <w:rFonts w:ascii="Arial" w:hAnsi="Arial" w:cs="Arial"/>
          <w:sz w:val="22"/>
          <w:szCs w:val="22"/>
          <w:lang w:val="en-AU"/>
        </w:rPr>
        <w:t>a term of a kind or a term that has an effect of a kind proscribed by regulations.</w:t>
      </w:r>
      <w:r w:rsidRPr="00001329">
        <w:rPr>
          <w:rStyle w:val="FootnoteReference"/>
          <w:rFonts w:ascii="Arial" w:hAnsi="Arial" w:cs="Arial"/>
          <w:sz w:val="22"/>
          <w:szCs w:val="22"/>
          <w:lang w:val="en-AU"/>
        </w:rPr>
        <w:footnoteReference w:id="26"/>
      </w:r>
    </w:p>
    <w:p w14:paraId="21FA7471" w14:textId="77777777" w:rsidR="00553573" w:rsidRPr="000C10EF" w:rsidRDefault="00553573" w:rsidP="00A06B7C">
      <w:pPr>
        <w:widowControl w:val="0"/>
        <w:autoSpaceDE w:val="0"/>
        <w:autoSpaceDN w:val="0"/>
        <w:adjustRightInd w:val="0"/>
        <w:spacing w:after="240" w:line="360" w:lineRule="auto"/>
        <w:jc w:val="both"/>
        <w:rPr>
          <w:rFonts w:ascii="Arial" w:hAnsi="Arial" w:cs="Arial"/>
          <w:b/>
          <w:color w:val="000000" w:themeColor="text1"/>
          <w:sz w:val="22"/>
          <w:szCs w:val="22"/>
          <w:lang w:val="en-AU"/>
        </w:rPr>
      </w:pPr>
      <w:r w:rsidRPr="000C10EF">
        <w:rPr>
          <w:rFonts w:ascii="Arial" w:hAnsi="Arial" w:cs="Arial"/>
          <w:b/>
          <w:color w:val="000000" w:themeColor="text1"/>
          <w:sz w:val="22"/>
          <w:szCs w:val="22"/>
          <w:lang w:val="en-AU"/>
        </w:rPr>
        <w:t>Consequences of using an unfair term</w:t>
      </w:r>
    </w:p>
    <w:p w14:paraId="0A5099C0" w14:textId="3B673B9A" w:rsidR="00AE5F20" w:rsidRPr="00A06B7C" w:rsidRDefault="00C371E9" w:rsidP="00A06B7C">
      <w:pPr>
        <w:pStyle w:val="NumberedParagraph"/>
        <w:ind w:left="567" w:hanging="567"/>
        <w:rPr>
          <w:rFonts w:cs="Arial"/>
          <w:color w:val="0000FF"/>
        </w:rPr>
      </w:pPr>
      <w:r>
        <w:rPr>
          <w:rFonts w:cs="Arial"/>
          <w:color w:val="000000" w:themeColor="text1"/>
        </w:rPr>
        <w:t xml:space="preserve">The Amendment Act has significantly changed the consequences that may flow from the use of unfair contract terms.  </w:t>
      </w:r>
      <w:r w:rsidR="00C465E1" w:rsidRPr="000C10EF">
        <w:rPr>
          <w:rFonts w:cs="Arial"/>
          <w:color w:val="000000" w:themeColor="text1"/>
        </w:rPr>
        <w:t xml:space="preserve">Currently, the </w:t>
      </w:r>
      <w:r w:rsidR="00712C72">
        <w:rPr>
          <w:rFonts w:cs="Arial"/>
          <w:color w:val="000000" w:themeColor="text1"/>
        </w:rPr>
        <w:t xml:space="preserve">provisions of </w:t>
      </w:r>
      <w:r w:rsidR="00C465E1" w:rsidRPr="000C10EF">
        <w:rPr>
          <w:rFonts w:cs="Arial"/>
          <w:color w:val="000000" w:themeColor="text1"/>
        </w:rPr>
        <w:t>ACL or the ASIC Act are breached only if a term is used that has been declared by a court to be an unfair term.</w:t>
      </w:r>
      <w:r w:rsidR="001225D6">
        <w:rPr>
          <w:rStyle w:val="FootnoteReference"/>
          <w:rFonts w:cs="Arial"/>
          <w:color w:val="000000" w:themeColor="text1"/>
        </w:rPr>
        <w:footnoteReference w:id="27"/>
      </w:r>
      <w:r w:rsidR="00C465E1" w:rsidRPr="000C10EF">
        <w:rPr>
          <w:rFonts w:cs="Arial"/>
          <w:color w:val="000000" w:themeColor="text1"/>
        </w:rPr>
        <w:t xml:space="preserve"> </w:t>
      </w:r>
      <w:r w:rsidR="00A90326">
        <w:rPr>
          <w:rFonts w:cs="Arial"/>
          <w:color w:val="000000" w:themeColor="text1"/>
        </w:rPr>
        <w:t>As set out above, u</w:t>
      </w:r>
      <w:r w:rsidR="00C465E1" w:rsidRPr="000C10EF">
        <w:rPr>
          <w:rFonts w:cs="Arial"/>
          <w:color w:val="000000" w:themeColor="text1"/>
        </w:rPr>
        <w:t>nder</w:t>
      </w:r>
      <w:r w:rsidR="00A90326">
        <w:rPr>
          <w:rFonts w:cs="Arial"/>
          <w:color w:val="000000" w:themeColor="text1"/>
        </w:rPr>
        <w:t xml:space="preserve"> </w:t>
      </w:r>
      <w:r w:rsidR="00C465E1" w:rsidRPr="000C10EF">
        <w:rPr>
          <w:rFonts w:cs="Arial"/>
          <w:color w:val="000000" w:themeColor="text1"/>
        </w:rPr>
        <w:t xml:space="preserve">the Amendment </w:t>
      </w:r>
      <w:r w:rsidR="001225D6">
        <w:rPr>
          <w:rFonts w:cs="Arial"/>
          <w:color w:val="000000" w:themeColor="text1"/>
        </w:rPr>
        <w:t>Act</w:t>
      </w:r>
      <w:r w:rsidR="00C465E1" w:rsidRPr="000C10EF">
        <w:rPr>
          <w:rFonts w:cs="Arial"/>
          <w:color w:val="000000" w:themeColor="text1"/>
        </w:rPr>
        <w:t>, a person will be in breach of the ACL or the ASIC Act if they proposed the use of an unfair ter</w:t>
      </w:r>
      <w:r>
        <w:rPr>
          <w:rFonts w:cs="Arial"/>
          <w:color w:val="000000" w:themeColor="text1"/>
        </w:rPr>
        <w:t>m</w:t>
      </w:r>
      <w:r w:rsidR="00A90326">
        <w:rPr>
          <w:rFonts w:cs="Arial"/>
          <w:color w:val="000000" w:themeColor="text1"/>
        </w:rPr>
        <w:t xml:space="preserve"> or </w:t>
      </w:r>
      <w:r>
        <w:rPr>
          <w:rFonts w:cs="Arial"/>
          <w:color w:val="000000" w:themeColor="text1"/>
        </w:rPr>
        <w:t xml:space="preserve">if </w:t>
      </w:r>
      <w:r w:rsidR="00A90326">
        <w:rPr>
          <w:rFonts w:cs="Arial"/>
          <w:color w:val="000000" w:themeColor="text1"/>
        </w:rPr>
        <w:t>they apply or rely on an unfair term in a standard from contract.</w:t>
      </w:r>
      <w:r w:rsidR="0066701C">
        <w:rPr>
          <w:rFonts w:cs="Arial"/>
          <w:color w:val="000000" w:themeColor="text1"/>
        </w:rPr>
        <w:t xml:space="preserve">  Under the Amendment Act a pecuniary penalty may be imposed for a contravention of the UCTL.</w:t>
      </w:r>
      <w:r>
        <w:rPr>
          <w:rStyle w:val="FootnoteReference"/>
          <w:rFonts w:cs="Arial"/>
          <w:color w:val="000000" w:themeColor="text1"/>
        </w:rPr>
        <w:footnoteReference w:id="28"/>
      </w:r>
    </w:p>
    <w:p w14:paraId="21A2AFB4" w14:textId="27DAD60C" w:rsidR="00EB69AA" w:rsidRPr="00A06B7C" w:rsidRDefault="00AE5F20" w:rsidP="00A06B7C">
      <w:pPr>
        <w:pStyle w:val="NumberedParagraph"/>
        <w:ind w:left="567" w:hanging="567"/>
        <w:rPr>
          <w:rFonts w:cs="Arial"/>
          <w:color w:val="0000FF"/>
        </w:rPr>
      </w:pPr>
      <w:r>
        <w:rPr>
          <w:rFonts w:cs="Arial"/>
          <w:color w:val="000000" w:themeColor="text1"/>
        </w:rPr>
        <w:t xml:space="preserve">Under the Amendment Act the maximum </w:t>
      </w:r>
      <w:r w:rsidR="005C0EF9" w:rsidRPr="000C10EF">
        <w:rPr>
          <w:rFonts w:cs="Arial"/>
        </w:rPr>
        <w:t>penal</w:t>
      </w:r>
      <w:r w:rsidR="00EB69AA">
        <w:rPr>
          <w:rFonts w:cs="Arial"/>
        </w:rPr>
        <w:t xml:space="preserve">ty </w:t>
      </w:r>
      <w:r w:rsidR="00C371E9">
        <w:rPr>
          <w:rFonts w:cs="Arial"/>
        </w:rPr>
        <w:t xml:space="preserve">for </w:t>
      </w:r>
      <w:r w:rsidR="00BC7292">
        <w:rPr>
          <w:rFonts w:cs="Arial"/>
        </w:rPr>
        <w:t xml:space="preserve">a </w:t>
      </w:r>
      <w:r w:rsidR="00EB69AA">
        <w:rPr>
          <w:rFonts w:cs="Arial"/>
        </w:rPr>
        <w:t xml:space="preserve">breach of </w:t>
      </w:r>
      <w:r w:rsidR="00C371E9">
        <w:rPr>
          <w:rFonts w:cs="Arial"/>
        </w:rPr>
        <w:t xml:space="preserve">a </w:t>
      </w:r>
      <w:r w:rsidR="00EB69AA">
        <w:rPr>
          <w:rFonts w:cs="Arial"/>
        </w:rPr>
        <w:t>civil penalty provision under the ACL</w:t>
      </w:r>
      <w:r w:rsidR="00BE08CC">
        <w:rPr>
          <w:rFonts w:cs="Arial"/>
        </w:rPr>
        <w:t xml:space="preserve"> has been increased from $500,000 </w:t>
      </w:r>
      <w:r w:rsidR="00512E95">
        <w:rPr>
          <w:rFonts w:cs="Arial"/>
        </w:rPr>
        <w:t xml:space="preserve">to </w:t>
      </w:r>
      <w:r w:rsidR="00512E95" w:rsidRPr="000C10EF">
        <w:rPr>
          <w:rFonts w:cs="Arial"/>
        </w:rPr>
        <w:t>$</w:t>
      </w:r>
      <w:r w:rsidR="000C10EF" w:rsidRPr="000C10EF">
        <w:rPr>
          <w:rFonts w:cs="Arial"/>
        </w:rPr>
        <w:t>2,</w:t>
      </w:r>
      <w:r w:rsidR="005C0EF9" w:rsidRPr="000C10EF">
        <w:rPr>
          <w:rFonts w:cs="Arial"/>
        </w:rPr>
        <w:t>500,000 for an individual</w:t>
      </w:r>
      <w:r>
        <w:rPr>
          <w:rFonts w:cs="Arial"/>
        </w:rPr>
        <w:t>.</w:t>
      </w:r>
      <w:r w:rsidR="00EB69AA">
        <w:rPr>
          <w:rFonts w:cs="Arial"/>
        </w:rPr>
        <w:t xml:space="preserve">  The maximum penalty for a breach by a</w:t>
      </w:r>
      <w:r>
        <w:rPr>
          <w:rFonts w:cs="Arial"/>
        </w:rPr>
        <w:t xml:space="preserve"> </w:t>
      </w:r>
      <w:r w:rsidR="000C10EF" w:rsidRPr="000C10EF">
        <w:rPr>
          <w:rFonts w:cs="Arial"/>
        </w:rPr>
        <w:t>corporation</w:t>
      </w:r>
      <w:r w:rsidR="00BE08CC">
        <w:rPr>
          <w:rFonts w:cs="Arial"/>
        </w:rPr>
        <w:t xml:space="preserve"> has been increased</w:t>
      </w:r>
      <w:r w:rsidR="005B10BD">
        <w:rPr>
          <w:rFonts w:cs="Arial"/>
        </w:rPr>
        <w:t xml:space="preserve"> from $10 million</w:t>
      </w:r>
      <w:r w:rsidR="00BE08CC">
        <w:rPr>
          <w:rFonts w:cs="Arial"/>
        </w:rPr>
        <w:t xml:space="preserve"> to</w:t>
      </w:r>
      <w:r w:rsidR="000C10EF" w:rsidRPr="000C10EF">
        <w:rPr>
          <w:rFonts w:cs="Arial"/>
        </w:rPr>
        <w:t xml:space="preserve"> the greater of</w:t>
      </w:r>
      <w:r w:rsidR="00EB69AA">
        <w:rPr>
          <w:rFonts w:cs="Arial"/>
        </w:rPr>
        <w:t>:</w:t>
      </w:r>
    </w:p>
    <w:p w14:paraId="7574F1B5" w14:textId="016E6AE5" w:rsidR="00EB69AA" w:rsidRPr="00A06B7C" w:rsidRDefault="000C10EF" w:rsidP="00A06B7C">
      <w:pPr>
        <w:pStyle w:val="NumberedParagraph"/>
        <w:numPr>
          <w:ilvl w:val="1"/>
          <w:numId w:val="1"/>
        </w:numPr>
        <w:rPr>
          <w:rFonts w:cs="Arial"/>
          <w:color w:val="0000FF"/>
        </w:rPr>
      </w:pPr>
      <w:r w:rsidRPr="000C10EF">
        <w:rPr>
          <w:rFonts w:cs="Arial"/>
        </w:rPr>
        <w:lastRenderedPageBreak/>
        <w:t>$5</w:t>
      </w:r>
      <w:r w:rsidR="00FC6145">
        <w:rPr>
          <w:rFonts w:cs="Arial"/>
        </w:rPr>
        <w:t xml:space="preserve">0 </w:t>
      </w:r>
      <w:proofErr w:type="gramStart"/>
      <w:r w:rsidR="00FC6145">
        <w:rPr>
          <w:rFonts w:cs="Arial"/>
        </w:rPr>
        <w:t>million</w:t>
      </w:r>
      <w:r w:rsidRPr="000C10EF">
        <w:rPr>
          <w:rFonts w:cs="Arial"/>
        </w:rPr>
        <w:t>;</w:t>
      </w:r>
      <w:proofErr w:type="gramEnd"/>
    </w:p>
    <w:p w14:paraId="6ECF2A61" w14:textId="0407900A" w:rsidR="00EB69AA" w:rsidRPr="00A06B7C" w:rsidRDefault="000C10EF" w:rsidP="00942CC4">
      <w:pPr>
        <w:pStyle w:val="NumberedParagraph"/>
        <w:numPr>
          <w:ilvl w:val="1"/>
          <w:numId w:val="1"/>
        </w:numPr>
        <w:rPr>
          <w:rFonts w:cs="Arial"/>
          <w:color w:val="0000FF"/>
        </w:rPr>
      </w:pPr>
      <w:r w:rsidRPr="000C10EF">
        <w:rPr>
          <w:rFonts w:cs="Arial"/>
        </w:rPr>
        <w:t>three times the benefit of the unfair contract term (if that value can be determined</w:t>
      </w:r>
      <w:proofErr w:type="gramStart"/>
      <w:r w:rsidRPr="000C10EF">
        <w:rPr>
          <w:rFonts w:cs="Arial"/>
        </w:rPr>
        <w:t>);</w:t>
      </w:r>
      <w:proofErr w:type="gramEnd"/>
      <w:r w:rsidRPr="000C10EF">
        <w:rPr>
          <w:rFonts w:cs="Arial"/>
        </w:rPr>
        <w:t xml:space="preserve"> </w:t>
      </w:r>
    </w:p>
    <w:p w14:paraId="045C9A18" w14:textId="6C75AC6D" w:rsidR="00EB69AA" w:rsidRPr="00A06B7C" w:rsidRDefault="000C10EF" w:rsidP="00A06B7C">
      <w:pPr>
        <w:pStyle w:val="NumberedParagraph"/>
        <w:numPr>
          <w:ilvl w:val="1"/>
          <w:numId w:val="1"/>
        </w:numPr>
        <w:rPr>
          <w:rFonts w:cs="Arial"/>
          <w:color w:val="0000FF"/>
        </w:rPr>
      </w:pPr>
      <w:r w:rsidRPr="000C10EF">
        <w:rPr>
          <w:rFonts w:cs="Arial"/>
        </w:rPr>
        <w:t>or 30% of adjusted turnover during the breach turnover period (</w:t>
      </w:r>
      <w:proofErr w:type="gramStart"/>
      <w:r w:rsidRPr="000C10EF">
        <w:rPr>
          <w:rFonts w:cs="Arial"/>
        </w:rPr>
        <w:t>i.e.</w:t>
      </w:r>
      <w:proofErr w:type="gramEnd"/>
      <w:r w:rsidRPr="000C10EF">
        <w:rPr>
          <w:rFonts w:cs="Arial"/>
        </w:rPr>
        <w:t xml:space="preserve"> over the period </w:t>
      </w:r>
      <w:r w:rsidR="005B10BD">
        <w:rPr>
          <w:rFonts w:cs="Arial"/>
        </w:rPr>
        <w:t xml:space="preserve">of </w:t>
      </w:r>
      <w:r w:rsidRPr="000C10EF">
        <w:rPr>
          <w:rFonts w:cs="Arial"/>
        </w:rPr>
        <w:t xml:space="preserve">the breach, within a minimum of 12 months). </w:t>
      </w:r>
      <w:r w:rsidR="005C0EF9" w:rsidRPr="000C10EF">
        <w:rPr>
          <w:rFonts w:cs="Arial"/>
        </w:rPr>
        <w:t xml:space="preserve"> </w:t>
      </w:r>
    </w:p>
    <w:p w14:paraId="2051D896" w14:textId="257A075F" w:rsidR="00991DA9" w:rsidRPr="00A06B7C" w:rsidRDefault="00EF4F81" w:rsidP="00A06B7C">
      <w:pPr>
        <w:pStyle w:val="NumberedParagraph"/>
        <w:ind w:left="567" w:hanging="567"/>
        <w:rPr>
          <w:color w:val="0000FF"/>
        </w:rPr>
      </w:pPr>
      <w:r>
        <w:t>Section 12GBCA of</w:t>
      </w:r>
      <w:r w:rsidR="00C371E9">
        <w:t xml:space="preserve"> ASIC Act</w:t>
      </w:r>
      <w:r>
        <w:t xml:space="preserve"> contains the current penalties that </w:t>
      </w:r>
      <w:r w:rsidR="00C411C5">
        <w:t>may</w:t>
      </w:r>
      <w:r>
        <w:t xml:space="preserve"> be imposed for breached of the ASIC Act</w:t>
      </w:r>
      <w:r w:rsidR="00405254" w:rsidRPr="000C10EF">
        <w:t>.</w:t>
      </w:r>
      <w:r>
        <w:t xml:space="preserve">  By reason of the Amendment Act, breaches of the unfair contract term provisions under the ASIC Act will attract </w:t>
      </w:r>
      <w:r w:rsidR="008D089F">
        <w:t xml:space="preserve">the existing penalties under that </w:t>
      </w:r>
      <w:r w:rsidR="00C411C5">
        <w:t>statute</w:t>
      </w:r>
      <w:r w:rsidR="00C411C5">
        <w:rPr>
          <w:rStyle w:val="FootnoteReference"/>
        </w:rPr>
        <w:footnoteReference w:id="29"/>
      </w:r>
      <w:r w:rsidR="008D089F">
        <w:t>.  For an individual the maximum penalty will be the greater of:</w:t>
      </w:r>
    </w:p>
    <w:p w14:paraId="10F94E74" w14:textId="3A012E15" w:rsidR="008D089F" w:rsidRPr="00A06B7C" w:rsidRDefault="00C411C5" w:rsidP="00A06B7C">
      <w:pPr>
        <w:pStyle w:val="NumberedParagraph"/>
        <w:numPr>
          <w:ilvl w:val="1"/>
          <w:numId w:val="1"/>
        </w:numPr>
      </w:pPr>
      <w:r w:rsidRPr="00A06B7C">
        <w:t>5,000 penalty units</w:t>
      </w:r>
      <w:r w:rsidR="009D4F92" w:rsidRPr="00A06B7C">
        <w:rPr>
          <w:rStyle w:val="FootnoteReference"/>
        </w:rPr>
        <w:footnoteReference w:id="30"/>
      </w:r>
      <w:r w:rsidR="00E30A60" w:rsidRPr="00A06B7C">
        <w:t>; or</w:t>
      </w:r>
    </w:p>
    <w:p w14:paraId="080E2009" w14:textId="005467ED" w:rsidR="00E30A60" w:rsidRPr="00A06B7C" w:rsidRDefault="00E30A60" w:rsidP="00942CC4">
      <w:pPr>
        <w:pStyle w:val="NumberedParagraph"/>
        <w:numPr>
          <w:ilvl w:val="1"/>
          <w:numId w:val="1"/>
        </w:numPr>
      </w:pPr>
      <w:r w:rsidRPr="00A06B7C">
        <w:t>if the court can determine the amount of the benefit derived and determent avoided because of the contravention, that amount multiplied by three.</w:t>
      </w:r>
      <w:r w:rsidRPr="00A06B7C">
        <w:rPr>
          <w:rStyle w:val="FootnoteReference"/>
        </w:rPr>
        <w:footnoteReference w:id="31"/>
      </w:r>
    </w:p>
    <w:p w14:paraId="34EFEEF3" w14:textId="234EBEA4" w:rsidR="007E0315" w:rsidRDefault="007E0315" w:rsidP="00A06B7C">
      <w:pPr>
        <w:pStyle w:val="NumberedParagraph"/>
        <w:ind w:left="567" w:hanging="567"/>
      </w:pPr>
      <w:r>
        <w:t>For a corporation the maximum penalty will be the greater of:</w:t>
      </w:r>
    </w:p>
    <w:p w14:paraId="400D97D8" w14:textId="5E6F80EC" w:rsidR="007E0315" w:rsidRDefault="007E0315" w:rsidP="00942CC4">
      <w:pPr>
        <w:pStyle w:val="NumberedParagraph"/>
        <w:numPr>
          <w:ilvl w:val="1"/>
          <w:numId w:val="1"/>
        </w:numPr>
      </w:pPr>
      <w:r>
        <w:t xml:space="preserve">50,000 penalty </w:t>
      </w:r>
      <w:proofErr w:type="gramStart"/>
      <w:r>
        <w:t>units;</w:t>
      </w:r>
      <w:proofErr w:type="gramEnd"/>
      <w:r>
        <w:t xml:space="preserve"> </w:t>
      </w:r>
    </w:p>
    <w:p w14:paraId="0A23D7B6" w14:textId="6E51AE38" w:rsidR="007E0315" w:rsidRDefault="007E0315" w:rsidP="00942CC4">
      <w:pPr>
        <w:pStyle w:val="NumberedParagraph"/>
        <w:numPr>
          <w:ilvl w:val="1"/>
          <w:numId w:val="1"/>
        </w:numPr>
      </w:pPr>
      <w:r>
        <w:t xml:space="preserve">the amount of the benefit </w:t>
      </w:r>
      <w:proofErr w:type="gramStart"/>
      <w:r w:rsidR="00732F42">
        <w:t>derived</w:t>
      </w:r>
      <w:proofErr w:type="gramEnd"/>
      <w:r w:rsidR="00732F42">
        <w:t xml:space="preserve"> </w:t>
      </w:r>
      <w:r>
        <w:t>and detriment avoided because of the contravention multiplied by 3; or</w:t>
      </w:r>
    </w:p>
    <w:p w14:paraId="07702F26" w14:textId="1E374898" w:rsidR="007E0315" w:rsidRPr="000C10EF" w:rsidRDefault="007E0315" w:rsidP="00A06B7C">
      <w:pPr>
        <w:pStyle w:val="NumberedParagraph"/>
        <w:numPr>
          <w:ilvl w:val="1"/>
          <w:numId w:val="1"/>
        </w:numPr>
      </w:pPr>
      <w:r>
        <w:t xml:space="preserve">10% of the annual turnover of the body corporate for the </w:t>
      </w:r>
      <w:r w:rsidR="00512E95">
        <w:t>12-month</w:t>
      </w:r>
      <w:r>
        <w:t xml:space="preserve"> period ending at the end of the month in which the body corporate contravened or began to contravene the civil penalty provision, or i</w:t>
      </w:r>
      <w:r w:rsidR="00732F42">
        <w:t>f</w:t>
      </w:r>
      <w:r>
        <w:t xml:space="preserve"> that amount is greater than an amount equal to 2,500,000 penalty units, 2,500,000 penalty units.</w:t>
      </w:r>
    </w:p>
    <w:p w14:paraId="73C7A481" w14:textId="77777777" w:rsidR="00A06B7C" w:rsidRDefault="00A06B7C" w:rsidP="00A06B7C">
      <w:pPr>
        <w:pStyle w:val="Heading1"/>
        <w:spacing w:before="0" w:after="240" w:line="360" w:lineRule="auto"/>
        <w:jc w:val="both"/>
        <w:rPr>
          <w:rFonts w:ascii="Arial" w:hAnsi="Arial" w:cs="Arial"/>
          <w:b w:val="0"/>
          <w:color w:val="auto"/>
          <w:sz w:val="40"/>
          <w:u w:val="single"/>
          <w:lang w:val="en-AU"/>
        </w:rPr>
      </w:pPr>
    </w:p>
    <w:p w14:paraId="7EEEBB8B" w14:textId="65C93A1F" w:rsidR="00DB3D8D" w:rsidRDefault="00DB3D8D" w:rsidP="00A06B7C">
      <w:pPr>
        <w:pStyle w:val="Heading1"/>
        <w:spacing w:before="0" w:after="240" w:line="360" w:lineRule="auto"/>
        <w:jc w:val="both"/>
        <w:rPr>
          <w:rFonts w:ascii="Arial" w:hAnsi="Arial" w:cs="Arial"/>
          <w:b w:val="0"/>
          <w:color w:val="auto"/>
          <w:sz w:val="40"/>
          <w:u w:val="single"/>
          <w:lang w:val="en-AU"/>
        </w:rPr>
      </w:pPr>
      <w:r w:rsidRPr="00692ACE">
        <w:rPr>
          <w:rFonts w:ascii="Arial" w:hAnsi="Arial" w:cs="Arial"/>
          <w:b w:val="0"/>
          <w:color w:val="auto"/>
          <w:sz w:val="40"/>
          <w:u w:val="single"/>
          <w:lang w:val="en-AU"/>
        </w:rPr>
        <w:t xml:space="preserve">Contracts to </w:t>
      </w:r>
      <w:r w:rsidR="005C3658">
        <w:rPr>
          <w:rFonts w:ascii="Arial" w:hAnsi="Arial" w:cs="Arial"/>
          <w:b w:val="0"/>
          <w:color w:val="auto"/>
          <w:sz w:val="40"/>
          <w:u w:val="single"/>
          <w:lang w:val="en-AU"/>
        </w:rPr>
        <w:t>w</w:t>
      </w:r>
      <w:r w:rsidRPr="00692ACE">
        <w:rPr>
          <w:rFonts w:ascii="Arial" w:hAnsi="Arial" w:cs="Arial"/>
          <w:b w:val="0"/>
          <w:color w:val="auto"/>
          <w:sz w:val="40"/>
          <w:u w:val="single"/>
          <w:lang w:val="en-AU"/>
        </w:rPr>
        <w:t>hich the UCTL Applies</w:t>
      </w:r>
      <w:bookmarkEnd w:id="12"/>
      <w:bookmarkEnd w:id="13"/>
      <w:bookmarkEnd w:id="14"/>
      <w:bookmarkEnd w:id="15"/>
      <w:r w:rsidRPr="00692ACE">
        <w:rPr>
          <w:rFonts w:ascii="Arial" w:hAnsi="Arial" w:cs="Arial"/>
          <w:b w:val="0"/>
          <w:color w:val="auto"/>
          <w:sz w:val="40"/>
          <w:u w:val="single"/>
          <w:lang w:val="en-AU"/>
        </w:rPr>
        <w:tab/>
      </w:r>
    </w:p>
    <w:p w14:paraId="279DC786" w14:textId="77777777" w:rsidR="009B5C14" w:rsidRPr="009B5C14" w:rsidRDefault="009B5C14" w:rsidP="00A06B7C">
      <w:pPr>
        <w:spacing w:after="240" w:line="360" w:lineRule="auto"/>
        <w:ind w:left="567" w:hanging="567"/>
        <w:rPr>
          <w:lang w:val="en-AU"/>
        </w:rPr>
      </w:pPr>
    </w:p>
    <w:p w14:paraId="6AFC1540" w14:textId="324D381D" w:rsidR="00BD0EAB" w:rsidRDefault="00DB3D8D" w:rsidP="00A06B7C">
      <w:pPr>
        <w:pStyle w:val="NumberedParagraph"/>
        <w:ind w:left="567" w:hanging="567"/>
      </w:pPr>
      <w:r w:rsidRPr="00692ACE">
        <w:lastRenderedPageBreak/>
        <w:t>The UCTL applies only to standard form contracts that are consumer contracts</w:t>
      </w:r>
      <w:r w:rsidR="00635C2B">
        <w:t xml:space="preserve"> or small business contracts.</w:t>
      </w:r>
      <w:r w:rsidRPr="00692ACE">
        <w:t xml:space="preserve"> </w:t>
      </w:r>
    </w:p>
    <w:p w14:paraId="63C83395" w14:textId="77777777" w:rsidR="00DB3D8D" w:rsidRPr="00BD0EAB" w:rsidRDefault="00DB3D8D" w:rsidP="00A06B7C">
      <w:pPr>
        <w:pStyle w:val="NumberedParagraph"/>
        <w:ind w:left="567" w:hanging="567"/>
      </w:pPr>
      <w:r w:rsidRPr="00BD0EAB">
        <w:t>A consumer contract</w:t>
      </w:r>
      <w:r w:rsidR="00635C2B" w:rsidRPr="00BD0EAB">
        <w:t xml:space="preserve"> or small business contract</w:t>
      </w:r>
      <w:r w:rsidRPr="00BD0EAB">
        <w:t xml:space="preserve"> may relate to the supply of goods or services or the sale or grant of an interest in land. These concepts are broadly defined in s 2 of the ACL.</w:t>
      </w:r>
    </w:p>
    <w:p w14:paraId="126FB45F" w14:textId="77777777" w:rsidR="00DB3D8D" w:rsidRPr="00692ACE" w:rsidRDefault="00DB3D8D" w:rsidP="00A06B7C">
      <w:pPr>
        <w:pStyle w:val="NumberedParagraph"/>
        <w:ind w:left="567" w:hanging="567"/>
      </w:pPr>
      <w:r w:rsidRPr="00692ACE">
        <w:t>Goods inclu</w:t>
      </w:r>
      <w:r w:rsidR="00651CBA">
        <w:t>de</w:t>
      </w:r>
      <w:r w:rsidR="0009100B">
        <w:t>:</w:t>
      </w:r>
    </w:p>
    <w:p w14:paraId="626760CC" w14:textId="77777777" w:rsidR="00DB3D8D" w:rsidRPr="00692ACE" w:rsidRDefault="00DB3D8D" w:rsidP="00A06B7C">
      <w:pPr>
        <w:pStyle w:val="NumberedParagraph"/>
        <w:numPr>
          <w:ilvl w:val="0"/>
          <w:numId w:val="12"/>
        </w:numPr>
        <w:spacing w:line="240" w:lineRule="auto"/>
        <w:ind w:left="1418" w:hanging="567"/>
      </w:pPr>
      <w:r w:rsidRPr="00692ACE">
        <w:t>ships, aircraft and other vehicles;</w:t>
      </w:r>
    </w:p>
    <w:p w14:paraId="32F96C78" w14:textId="77777777" w:rsidR="00DB3D8D" w:rsidRPr="00692ACE" w:rsidRDefault="00DB3D8D" w:rsidP="00A06B7C">
      <w:pPr>
        <w:pStyle w:val="NumberedParagraph"/>
        <w:numPr>
          <w:ilvl w:val="0"/>
          <w:numId w:val="12"/>
        </w:numPr>
        <w:spacing w:line="240" w:lineRule="auto"/>
        <w:ind w:left="1418" w:hanging="567"/>
      </w:pPr>
      <w:r w:rsidRPr="00692ACE">
        <w:t>animals, including fish;</w:t>
      </w:r>
    </w:p>
    <w:p w14:paraId="25C302D3" w14:textId="77777777" w:rsidR="00DB3D8D" w:rsidRPr="00692ACE" w:rsidRDefault="00DB3D8D" w:rsidP="00A06B7C">
      <w:pPr>
        <w:pStyle w:val="NumberedParagraph"/>
        <w:numPr>
          <w:ilvl w:val="0"/>
          <w:numId w:val="12"/>
        </w:numPr>
        <w:spacing w:line="240" w:lineRule="auto"/>
        <w:ind w:left="1418" w:hanging="567"/>
      </w:pPr>
      <w:r w:rsidRPr="00692ACE">
        <w:t>minerals, trees and crops, whether on, under or attached to land or not;</w:t>
      </w:r>
    </w:p>
    <w:p w14:paraId="45501A37" w14:textId="77777777" w:rsidR="00DB3D8D" w:rsidRPr="00692ACE" w:rsidRDefault="00DB3D8D" w:rsidP="00A06B7C">
      <w:pPr>
        <w:pStyle w:val="NumberedParagraph"/>
        <w:numPr>
          <w:ilvl w:val="0"/>
          <w:numId w:val="12"/>
        </w:numPr>
        <w:spacing w:line="240" w:lineRule="auto"/>
        <w:ind w:left="1418" w:hanging="567"/>
      </w:pPr>
      <w:r w:rsidRPr="00692ACE">
        <w:t>gas and electricity;</w:t>
      </w:r>
    </w:p>
    <w:p w14:paraId="2D0A8759" w14:textId="77777777" w:rsidR="00DB3D8D" w:rsidRPr="00692ACE" w:rsidRDefault="00DB3D8D" w:rsidP="00A06B7C">
      <w:pPr>
        <w:pStyle w:val="NumberedParagraph"/>
        <w:numPr>
          <w:ilvl w:val="0"/>
          <w:numId w:val="12"/>
        </w:numPr>
        <w:spacing w:line="240" w:lineRule="auto"/>
        <w:ind w:left="1418" w:hanging="567"/>
      </w:pPr>
      <w:r w:rsidRPr="00692ACE">
        <w:t xml:space="preserve">computer software; </w:t>
      </w:r>
    </w:p>
    <w:p w14:paraId="07F7333B" w14:textId="77777777" w:rsidR="00DB3D8D" w:rsidRPr="00692ACE" w:rsidRDefault="00DB3D8D" w:rsidP="00A06B7C">
      <w:pPr>
        <w:pStyle w:val="NumberedParagraph"/>
        <w:numPr>
          <w:ilvl w:val="0"/>
          <w:numId w:val="12"/>
        </w:numPr>
        <w:spacing w:line="240" w:lineRule="auto"/>
        <w:ind w:left="1418" w:hanging="567"/>
        <w:rPr>
          <w:rFonts w:cs="Arial"/>
        </w:rPr>
      </w:pPr>
      <w:r w:rsidRPr="00692ACE">
        <w:rPr>
          <w:rFonts w:cs="Arial"/>
        </w:rPr>
        <w:t>second</w:t>
      </w:r>
      <w:r w:rsidR="004C12BB">
        <w:rPr>
          <w:rFonts w:cs="Arial"/>
        </w:rPr>
        <w:t xml:space="preserve"> </w:t>
      </w:r>
      <w:r w:rsidRPr="00692ACE">
        <w:rPr>
          <w:rFonts w:cs="Arial"/>
        </w:rPr>
        <w:t xml:space="preserve">hand </w:t>
      </w:r>
      <w:hyperlink r:id="rId8" w:anchor="goods" w:history="1">
        <w:r w:rsidRPr="00692ACE">
          <w:rPr>
            <w:rFonts w:cs="Arial"/>
            <w:u w:color="0000F6"/>
          </w:rPr>
          <w:t>goods</w:t>
        </w:r>
      </w:hyperlink>
      <w:r w:rsidRPr="00692ACE">
        <w:rPr>
          <w:rFonts w:cs="Arial"/>
        </w:rPr>
        <w:t>; and</w:t>
      </w:r>
    </w:p>
    <w:p w14:paraId="3175265E" w14:textId="77777777" w:rsidR="00DB3D8D" w:rsidRDefault="00DB3D8D" w:rsidP="00A06B7C">
      <w:pPr>
        <w:pStyle w:val="NumberedParagraph"/>
        <w:numPr>
          <w:ilvl w:val="0"/>
          <w:numId w:val="12"/>
        </w:numPr>
        <w:spacing w:line="240" w:lineRule="auto"/>
        <w:ind w:left="1418" w:hanging="567"/>
        <w:rPr>
          <w:rFonts w:cs="Arial"/>
        </w:rPr>
      </w:pPr>
      <w:r w:rsidRPr="00692ACE">
        <w:rPr>
          <w:rFonts w:cs="Arial"/>
        </w:rPr>
        <w:t xml:space="preserve">any component part of or </w:t>
      </w:r>
      <w:hyperlink r:id="rId9" w:anchor="access" w:history="1">
        <w:r w:rsidRPr="00692ACE">
          <w:rPr>
            <w:rFonts w:cs="Arial"/>
            <w:u w:color="0000F6"/>
          </w:rPr>
          <w:t>accessory</w:t>
        </w:r>
      </w:hyperlink>
      <w:r w:rsidRPr="00692ACE">
        <w:rPr>
          <w:rFonts w:cs="Arial"/>
        </w:rPr>
        <w:t xml:space="preserve"> to </w:t>
      </w:r>
      <w:hyperlink r:id="rId10" w:anchor="goods" w:history="1">
        <w:r w:rsidRPr="00692ACE">
          <w:rPr>
            <w:rFonts w:cs="Arial"/>
            <w:u w:color="0000F6"/>
          </w:rPr>
          <w:t>goods</w:t>
        </w:r>
      </w:hyperlink>
      <w:r w:rsidRPr="00692ACE">
        <w:rPr>
          <w:rFonts w:cs="Arial"/>
        </w:rPr>
        <w:t>.</w:t>
      </w:r>
    </w:p>
    <w:p w14:paraId="781827B8" w14:textId="77777777" w:rsidR="00A06B7C" w:rsidRPr="00692ACE" w:rsidRDefault="00A06B7C" w:rsidP="00A06B7C">
      <w:pPr>
        <w:pStyle w:val="NumberedParagraph"/>
        <w:numPr>
          <w:ilvl w:val="0"/>
          <w:numId w:val="0"/>
        </w:numPr>
        <w:spacing w:line="240" w:lineRule="auto"/>
        <w:ind w:left="360" w:hanging="360"/>
        <w:rPr>
          <w:rFonts w:cs="Arial"/>
        </w:rPr>
      </w:pPr>
    </w:p>
    <w:p w14:paraId="764DA602" w14:textId="77777777" w:rsidR="00DB3D8D" w:rsidRPr="00692ACE" w:rsidRDefault="00DB3D8D" w:rsidP="00A06B7C">
      <w:pPr>
        <w:pStyle w:val="NumberedParagraph"/>
        <w:spacing w:line="240" w:lineRule="auto"/>
        <w:ind w:left="567" w:hanging="567"/>
      </w:pPr>
      <w:r w:rsidRPr="00692ACE">
        <w:t>Services include</w:t>
      </w:r>
      <w:r w:rsidR="0009100B">
        <w:t>:</w:t>
      </w:r>
    </w:p>
    <w:p w14:paraId="1BE68DF8" w14:textId="77777777" w:rsidR="00DB3D8D" w:rsidRPr="00692ACE" w:rsidRDefault="00DB3D8D" w:rsidP="00A06B7C">
      <w:pPr>
        <w:pStyle w:val="NumberedParagraph"/>
        <w:numPr>
          <w:ilvl w:val="0"/>
          <w:numId w:val="13"/>
        </w:numPr>
        <w:spacing w:line="276" w:lineRule="auto"/>
        <w:ind w:left="1418" w:hanging="567"/>
      </w:pPr>
      <w:r w:rsidRPr="00692ACE">
        <w:t xml:space="preserve">any rights (including rights in relation to and interests in real or </w:t>
      </w:r>
      <w:r w:rsidRPr="00692ACE">
        <w:rPr>
          <w:u w:color="0000F6"/>
        </w:rPr>
        <w:t>personal</w:t>
      </w:r>
      <w:r w:rsidRPr="00692ACE">
        <w:t xml:space="preserve"> property), benefits, privileges or facilities that are or are to be provided, granted or conferred in </w:t>
      </w:r>
      <w:r w:rsidRPr="00692ACE">
        <w:rPr>
          <w:u w:color="0000F6"/>
        </w:rPr>
        <w:t>trade</w:t>
      </w:r>
      <w:r w:rsidRPr="00692ACE">
        <w:t xml:space="preserve"> </w:t>
      </w:r>
      <w:r w:rsidRPr="00692ACE">
        <w:rPr>
          <w:u w:color="0000F6"/>
        </w:rPr>
        <w:t>or commerce</w:t>
      </w:r>
      <w:r w:rsidRPr="00692ACE">
        <w:t>; and</w:t>
      </w:r>
    </w:p>
    <w:p w14:paraId="76E124A7" w14:textId="77777777" w:rsidR="00DB3D8D" w:rsidRPr="00692ACE" w:rsidRDefault="00DB3D8D" w:rsidP="00A06B7C">
      <w:pPr>
        <w:pStyle w:val="NumberedParagraph"/>
        <w:numPr>
          <w:ilvl w:val="0"/>
          <w:numId w:val="13"/>
        </w:numPr>
        <w:spacing w:line="276" w:lineRule="auto"/>
        <w:ind w:left="1418" w:hanging="567"/>
      </w:pPr>
      <w:r w:rsidRPr="00692ACE">
        <w:t>without limiting paragraph</w:t>
      </w:r>
      <w:r w:rsidR="004C12BB">
        <w:t xml:space="preserve"> </w:t>
      </w:r>
      <w:r w:rsidRPr="00692ACE">
        <w:t>(a), the rights, benefits, privileges or facilities that are or are to be provided, granted or conferred under:</w:t>
      </w:r>
    </w:p>
    <w:p w14:paraId="36481866" w14:textId="77777777" w:rsidR="00DB3D8D" w:rsidRPr="00692ACE" w:rsidRDefault="00DB3D8D" w:rsidP="00A06B7C">
      <w:pPr>
        <w:pStyle w:val="NumberedParagraph"/>
        <w:numPr>
          <w:ilvl w:val="0"/>
          <w:numId w:val="14"/>
        </w:numPr>
        <w:spacing w:line="276" w:lineRule="auto"/>
        <w:ind w:left="1985" w:hanging="567"/>
      </w:pPr>
      <w:r w:rsidRPr="00692ACE">
        <w:t xml:space="preserve">a contract for or in relation to the performance of work (including work of a professional nature), whether with or without the </w:t>
      </w:r>
      <w:r w:rsidRPr="00692ACE">
        <w:rPr>
          <w:u w:color="0000F6"/>
        </w:rPr>
        <w:t>supply</w:t>
      </w:r>
      <w:r w:rsidRPr="00692ACE">
        <w:t xml:space="preserve"> of </w:t>
      </w:r>
      <w:r w:rsidRPr="00692ACE">
        <w:rPr>
          <w:u w:color="0000F6"/>
        </w:rPr>
        <w:t>goods</w:t>
      </w:r>
      <w:r w:rsidRPr="00692ACE">
        <w:t>;</w:t>
      </w:r>
    </w:p>
    <w:p w14:paraId="06DCD31B" w14:textId="77777777" w:rsidR="00DB3D8D" w:rsidRPr="00692ACE" w:rsidRDefault="00DB3D8D" w:rsidP="00A06B7C">
      <w:pPr>
        <w:pStyle w:val="NumberedParagraph"/>
        <w:numPr>
          <w:ilvl w:val="0"/>
          <w:numId w:val="14"/>
        </w:numPr>
        <w:spacing w:line="276" w:lineRule="auto"/>
        <w:ind w:left="1985" w:hanging="567"/>
      </w:pPr>
      <w:r w:rsidRPr="00692ACE">
        <w:t xml:space="preserve">a contract for or in relation to the </w:t>
      </w:r>
      <w:r w:rsidRPr="00692ACE">
        <w:rPr>
          <w:u w:color="0000F6"/>
        </w:rPr>
        <w:t>provision</w:t>
      </w:r>
      <w:r w:rsidRPr="00692ACE">
        <w:t xml:space="preserve"> of or the use or enjoyment of facilities for amusement, entertainment, recreation or instruction;</w:t>
      </w:r>
    </w:p>
    <w:p w14:paraId="609B6250" w14:textId="77777777" w:rsidR="00DB3D8D" w:rsidRPr="00692ACE" w:rsidRDefault="00DB3D8D" w:rsidP="00A06B7C">
      <w:pPr>
        <w:pStyle w:val="NumberedParagraph"/>
        <w:numPr>
          <w:ilvl w:val="0"/>
          <w:numId w:val="14"/>
        </w:numPr>
        <w:spacing w:line="276" w:lineRule="auto"/>
        <w:ind w:left="1985" w:hanging="567"/>
      </w:pPr>
      <w:r w:rsidRPr="00692ACE">
        <w:t>a contract for or in relation to the conferring of rights, benefits or privileges for which remuneration is payable in the form of a royalty, tribute, levy or similar exaction;</w:t>
      </w:r>
    </w:p>
    <w:p w14:paraId="4417770C" w14:textId="77777777" w:rsidR="00DB3D8D" w:rsidRPr="00692ACE" w:rsidRDefault="00DB3D8D" w:rsidP="00A06B7C">
      <w:pPr>
        <w:pStyle w:val="NumberedParagraph"/>
        <w:numPr>
          <w:ilvl w:val="0"/>
          <w:numId w:val="14"/>
        </w:numPr>
        <w:spacing w:line="276" w:lineRule="auto"/>
        <w:ind w:left="1985" w:hanging="567"/>
      </w:pPr>
      <w:r w:rsidRPr="00692ACE">
        <w:t>a contract of insurance;</w:t>
      </w:r>
    </w:p>
    <w:p w14:paraId="533ED4FC" w14:textId="77777777" w:rsidR="00DB3D8D" w:rsidRPr="00692ACE" w:rsidRDefault="00DB3D8D" w:rsidP="00A06B7C">
      <w:pPr>
        <w:pStyle w:val="NumberedParagraph"/>
        <w:numPr>
          <w:ilvl w:val="0"/>
          <w:numId w:val="14"/>
        </w:numPr>
        <w:spacing w:line="276" w:lineRule="auto"/>
        <w:ind w:left="1985" w:hanging="567"/>
      </w:pPr>
      <w:r w:rsidRPr="00692ACE">
        <w:t xml:space="preserve">a contract between a </w:t>
      </w:r>
      <w:r w:rsidRPr="00692ACE">
        <w:rPr>
          <w:u w:color="0000F6"/>
        </w:rPr>
        <w:t>banker</w:t>
      </w:r>
      <w:r w:rsidRPr="00692ACE">
        <w:t xml:space="preserve"> and a customer of the </w:t>
      </w:r>
      <w:r w:rsidRPr="00692ACE">
        <w:rPr>
          <w:u w:color="0000F6"/>
        </w:rPr>
        <w:t>banker</w:t>
      </w:r>
      <w:r w:rsidRPr="00692ACE">
        <w:t xml:space="preserve"> entered into during the course of the banker carrying out the </w:t>
      </w:r>
      <w:r w:rsidRPr="00692ACE">
        <w:rPr>
          <w:u w:color="0000F6"/>
        </w:rPr>
        <w:t>business</w:t>
      </w:r>
      <w:r w:rsidRPr="00692ACE">
        <w:t xml:space="preserve"> of banking; or</w:t>
      </w:r>
    </w:p>
    <w:p w14:paraId="2C7DA848" w14:textId="77777777" w:rsidR="00DB3D8D" w:rsidRDefault="00DB3D8D" w:rsidP="007F3BDA">
      <w:pPr>
        <w:pStyle w:val="NumberedParagraph"/>
        <w:numPr>
          <w:ilvl w:val="0"/>
          <w:numId w:val="14"/>
        </w:numPr>
        <w:spacing w:line="276" w:lineRule="auto"/>
        <w:ind w:left="1985" w:hanging="567"/>
      </w:pPr>
      <w:r w:rsidRPr="00692ACE">
        <w:t>any contract for or in relation to the lending of money.</w:t>
      </w:r>
    </w:p>
    <w:p w14:paraId="33FB9B08" w14:textId="77777777" w:rsidR="005C4167" w:rsidRPr="00692ACE" w:rsidRDefault="005C4167" w:rsidP="00A06B7C">
      <w:pPr>
        <w:pStyle w:val="NumberedParagraph"/>
        <w:numPr>
          <w:ilvl w:val="0"/>
          <w:numId w:val="0"/>
        </w:numPr>
        <w:spacing w:line="276" w:lineRule="auto"/>
      </w:pPr>
    </w:p>
    <w:p w14:paraId="50232E5E" w14:textId="56B1A2F4" w:rsidR="005C4167" w:rsidRPr="00692ACE" w:rsidRDefault="005C4167" w:rsidP="005C4167">
      <w:pPr>
        <w:widowControl w:val="0"/>
        <w:tabs>
          <w:tab w:val="left" w:pos="1134"/>
        </w:tabs>
        <w:autoSpaceDE w:val="0"/>
        <w:autoSpaceDN w:val="0"/>
        <w:adjustRightInd w:val="0"/>
        <w:spacing w:after="240" w:line="360" w:lineRule="auto"/>
        <w:ind w:left="567" w:hanging="567"/>
        <w:jc w:val="both"/>
        <w:rPr>
          <w:rFonts w:ascii="Arial" w:hAnsi="Arial" w:cs="Arial"/>
          <w:sz w:val="22"/>
          <w:lang w:val="en-AU"/>
        </w:rPr>
      </w:pPr>
    </w:p>
    <w:p w14:paraId="3BFB0D9B" w14:textId="0021F498" w:rsidR="005C4167" w:rsidRDefault="005C4167" w:rsidP="000C42C3">
      <w:pPr>
        <w:pStyle w:val="NumberedParagraph"/>
        <w:ind w:left="567" w:hanging="567"/>
      </w:pPr>
      <w:r>
        <w:t>Services do not include right</w:t>
      </w:r>
      <w:r w:rsidR="0055467A">
        <w:t>s</w:t>
      </w:r>
      <w:r>
        <w:t xml:space="preserve"> or benefits that are the supply of goods or the performance of worked under a contract of service.</w:t>
      </w:r>
    </w:p>
    <w:p w14:paraId="7DC9688B" w14:textId="5AC7BF19" w:rsidR="00DB3D8D" w:rsidRPr="00692ACE" w:rsidRDefault="00DB3D8D" w:rsidP="00A06B7C">
      <w:pPr>
        <w:pStyle w:val="NumberedParagraph"/>
        <w:ind w:left="567" w:hanging="567"/>
      </w:pPr>
      <w:r w:rsidRPr="00692ACE">
        <w:t>An interest in land includes:</w:t>
      </w:r>
    </w:p>
    <w:p w14:paraId="32BC8D44" w14:textId="77777777" w:rsidR="00DB3D8D" w:rsidRPr="00692ACE" w:rsidRDefault="00DB3D8D" w:rsidP="00A06B7C">
      <w:pPr>
        <w:pStyle w:val="NumberedParagraph"/>
        <w:numPr>
          <w:ilvl w:val="0"/>
          <w:numId w:val="15"/>
        </w:numPr>
        <w:spacing w:line="276" w:lineRule="auto"/>
        <w:ind w:left="1134" w:hanging="567"/>
      </w:pPr>
      <w:r w:rsidRPr="00692ACE">
        <w:t>a legal or equitable estate or interest in the land;</w:t>
      </w:r>
    </w:p>
    <w:p w14:paraId="06842B6B" w14:textId="77777777" w:rsidR="00DB3D8D" w:rsidRPr="00692ACE" w:rsidRDefault="00DB3D8D" w:rsidP="00A06B7C">
      <w:pPr>
        <w:pStyle w:val="NumberedParagraph"/>
        <w:numPr>
          <w:ilvl w:val="0"/>
          <w:numId w:val="15"/>
        </w:numPr>
        <w:spacing w:line="276" w:lineRule="auto"/>
        <w:ind w:left="1134" w:hanging="567"/>
      </w:pPr>
      <w:r w:rsidRPr="00692ACE">
        <w:t>a right of occupancy of the land</w:t>
      </w:r>
      <w:r w:rsidR="00651CBA">
        <w:t>,</w:t>
      </w:r>
      <w:r w:rsidRPr="00692ACE">
        <w:t xml:space="preserve"> a building or part of a building erected on the land</w:t>
      </w:r>
      <w:r w:rsidR="00FA6E36">
        <w:t xml:space="preserve"> </w:t>
      </w:r>
      <w:r w:rsidRPr="00692ACE">
        <w:t xml:space="preserve">arising by virtue of the holding of </w:t>
      </w:r>
      <w:r w:rsidRPr="00692ACE">
        <w:rPr>
          <w:u w:color="0000F6"/>
        </w:rPr>
        <w:t>shares</w:t>
      </w:r>
      <w:r w:rsidRPr="00692ACE">
        <w:t xml:space="preserve"> or </w:t>
      </w:r>
      <w:r w:rsidR="00FA6E36">
        <w:t xml:space="preserve">a </w:t>
      </w:r>
      <w:r w:rsidRPr="00692ACE">
        <w:t xml:space="preserve">contract to purchase </w:t>
      </w:r>
      <w:r w:rsidRPr="00692ACE">
        <w:rPr>
          <w:u w:color="0000F6"/>
        </w:rPr>
        <w:t>shares</w:t>
      </w:r>
      <w:r w:rsidRPr="00692ACE">
        <w:t xml:space="preserve"> in an incorporated company that owns the land or building; or</w:t>
      </w:r>
    </w:p>
    <w:p w14:paraId="178266D0" w14:textId="77777777" w:rsidR="00DB3D8D" w:rsidRPr="00692ACE" w:rsidRDefault="00DB3D8D" w:rsidP="00A06B7C">
      <w:pPr>
        <w:pStyle w:val="NumberedParagraph"/>
        <w:numPr>
          <w:ilvl w:val="0"/>
          <w:numId w:val="15"/>
        </w:numPr>
        <w:spacing w:line="276" w:lineRule="auto"/>
        <w:ind w:left="1134" w:hanging="567"/>
      </w:pPr>
      <w:r w:rsidRPr="00692ACE">
        <w:t>a right, power or privilege over, or in connection with, the land.</w:t>
      </w:r>
    </w:p>
    <w:p w14:paraId="00AF0339" w14:textId="77777777" w:rsidR="00DB3D8D" w:rsidRPr="00692ACE" w:rsidRDefault="00DB3D8D" w:rsidP="00A06B7C">
      <w:pPr>
        <w:pStyle w:val="NumberedParagraph"/>
        <w:ind w:left="567" w:hanging="567"/>
      </w:pPr>
      <w:r w:rsidRPr="00692ACE">
        <w:t>It is important to note that, under the UCTL, a consumer contract is not limited to the supply of things of a personal, domestic or household nature. The UCTL applies to the supply of goods, services or an interest in land to an individual, provided that the acquisition thereof is wholly or predominantly for personal, domestic or household use or consumption. The definition of consumer contract under the UCTL therefore differs from the definition of a consumer under s 3 of the ACL.</w:t>
      </w:r>
      <w:r w:rsidRPr="00692ACE">
        <w:rPr>
          <w:rStyle w:val="FootnoteReference"/>
          <w:rFonts w:cs="Arial"/>
        </w:rPr>
        <w:footnoteReference w:id="32"/>
      </w:r>
    </w:p>
    <w:p w14:paraId="551B4406" w14:textId="77777777" w:rsidR="00DB3D8D" w:rsidRPr="00692ACE" w:rsidRDefault="00DB3D8D" w:rsidP="00A06B7C">
      <w:pPr>
        <w:pStyle w:val="NumberedParagraph"/>
        <w:ind w:left="567" w:hanging="567"/>
      </w:pPr>
      <w:r w:rsidRPr="00692ACE">
        <w:t>This difference might result in a person being considered a consumer under s 3 of the ACL but not under the provisions of the UCTL. The following example is given by Jeannie Patterson:</w:t>
      </w:r>
      <w:r w:rsidRPr="00692ACE">
        <w:rPr>
          <w:rStyle w:val="FootnoteReference"/>
          <w:rFonts w:cs="Arial"/>
        </w:rPr>
        <w:footnoteReference w:id="33"/>
      </w:r>
      <w:r w:rsidRPr="00692ACE">
        <w:t xml:space="preserve"> an individual owning a small business who purchases a coffee machine (of a non-commercial standard) for use by staff members is a consumer under the ACL and, therefore, has the benefit of the consumer guarantee provisions under Pt 3-2 of the ACL but is not a consumer under the UCTL as the coffee machine was not bought for personal, domestic or household use or consumption. In contrast, a person buying a tractor for more than $</w:t>
      </w:r>
      <w:r w:rsidR="0079394E">
        <w:t>10</w:t>
      </w:r>
      <w:r w:rsidRPr="00692ACE">
        <w:t>0,000 for personal use in a suburban garden is not a consumer under the general provisions of the ACL but is a consumer under the UCTL as the tractor was acquired for personal, domestic or household use or consumption.</w:t>
      </w:r>
      <w:r w:rsidRPr="00692ACE">
        <w:rPr>
          <w:rStyle w:val="FootnoteReference"/>
          <w:rFonts w:cs="Arial"/>
        </w:rPr>
        <w:footnoteReference w:id="34"/>
      </w:r>
    </w:p>
    <w:p w14:paraId="120D7B5E" w14:textId="77777777" w:rsidR="00DB3D8D" w:rsidRPr="00692ACE" w:rsidRDefault="00DB3D8D" w:rsidP="00A06B7C">
      <w:pPr>
        <w:pStyle w:val="NumberedParagraph"/>
        <w:ind w:left="567" w:hanging="567"/>
      </w:pPr>
      <w:r w:rsidRPr="00692ACE">
        <w:lastRenderedPageBreak/>
        <w:t>Whether a contract is a consumer contract under the UCTL should be determined with reference to the time the contract was made. Therefore, it should be the purpose at the time of acquisition that determines the character of the contract.</w:t>
      </w:r>
      <w:r w:rsidRPr="00692ACE">
        <w:rPr>
          <w:rStyle w:val="FootnoteReference"/>
          <w:rFonts w:cs="Arial"/>
        </w:rPr>
        <w:footnoteReference w:id="35"/>
      </w:r>
    </w:p>
    <w:p w14:paraId="2A427448" w14:textId="022A3DA2" w:rsidR="00F235BD" w:rsidRPr="00F235BD" w:rsidRDefault="00DB3D8D" w:rsidP="00A06B7C">
      <w:pPr>
        <w:pStyle w:val="NumberedParagraph"/>
        <w:ind w:left="567" w:hanging="567"/>
      </w:pPr>
      <w:r w:rsidRPr="00F235BD">
        <w:t>As stated</w:t>
      </w:r>
      <w:r w:rsidR="005C4167">
        <w:t xml:space="preserve"> </w:t>
      </w:r>
      <w:r w:rsidRPr="00F235BD">
        <w:t>above, standard form contracts that deal with the supply of financial services and financial products are regulated by the UCTL in the ASIC Act. Financial products and services are broadly defined in s 12BAA and s 12BAB of the ASIC Act and may include financial investments, credit facilities and a guarantee related to a mortgage or a credit contract.</w:t>
      </w:r>
      <w:r w:rsidRPr="00692ACE">
        <w:rPr>
          <w:rStyle w:val="FootnoteReference"/>
          <w:rFonts w:cs="Arial"/>
        </w:rPr>
        <w:footnoteReference w:id="36"/>
      </w:r>
      <w:r w:rsidRPr="00F235BD">
        <w:t xml:space="preserve"> </w:t>
      </w:r>
    </w:p>
    <w:p w14:paraId="5273AB4C" w14:textId="77777777" w:rsidR="00DB3D8D" w:rsidRPr="00692ACE" w:rsidRDefault="00DB3D8D" w:rsidP="00A06B7C">
      <w:pPr>
        <w:widowControl w:val="0"/>
        <w:autoSpaceDE w:val="0"/>
        <w:autoSpaceDN w:val="0"/>
        <w:adjustRightInd w:val="0"/>
        <w:spacing w:after="240" w:line="360" w:lineRule="auto"/>
        <w:jc w:val="both"/>
        <w:rPr>
          <w:rFonts w:ascii="Arial" w:hAnsi="Arial" w:cs="Arial"/>
          <w:b/>
          <w:sz w:val="22"/>
          <w:lang w:val="en-AU"/>
        </w:rPr>
      </w:pPr>
      <w:r w:rsidRPr="00692ACE">
        <w:rPr>
          <w:rFonts w:ascii="Arial" w:hAnsi="Arial" w:cs="Arial"/>
          <w:b/>
          <w:sz w:val="22"/>
          <w:lang w:val="en-AU"/>
        </w:rPr>
        <w:t>Standard form contract</w:t>
      </w:r>
    </w:p>
    <w:p w14:paraId="3A7F64D7" w14:textId="77777777" w:rsidR="00DB3D8D" w:rsidRPr="00692ACE" w:rsidRDefault="00DB3D8D" w:rsidP="00A06B7C">
      <w:pPr>
        <w:pStyle w:val="NumberedParagraph"/>
        <w:ind w:left="567" w:hanging="567"/>
        <w:rPr>
          <w:b/>
        </w:rPr>
      </w:pPr>
      <w:r w:rsidRPr="00692ACE">
        <w:t>The UCTL does not define what a standard form contract is. As mentioned</w:t>
      </w:r>
      <w:r w:rsidR="00F235BD">
        <w:t xml:space="preserve"> above,</w:t>
      </w:r>
      <w:r w:rsidRPr="00692ACE">
        <w:t xml:space="preserve"> the UCTL contains a rebuttable presumption that a contract is a standard form contract. This presumption reflects the view that, ordinarily, the claimant will have evidence of only the existence of one contract and the respondent will be best placed to provide evidence regarding the nature of the contracts it uses.</w:t>
      </w:r>
      <w:r w:rsidRPr="00692ACE">
        <w:rPr>
          <w:rStyle w:val="FootnoteReference"/>
          <w:rFonts w:cs="Arial"/>
        </w:rPr>
        <w:footnoteReference w:id="37"/>
      </w:r>
      <w:r w:rsidRPr="00692ACE">
        <w:t xml:space="preserve"> The matters that a court must take into account in deciding whether a contract is a standard form contract are set out in s 27(2) of the ACL.</w:t>
      </w:r>
    </w:p>
    <w:p w14:paraId="444C6AF7" w14:textId="77777777" w:rsidR="00DB3D8D" w:rsidRPr="00692ACE" w:rsidRDefault="00DB3D8D" w:rsidP="00A06B7C">
      <w:pPr>
        <w:pStyle w:val="NumberedParagraph"/>
        <w:ind w:left="567" w:hanging="567"/>
        <w:rPr>
          <w:b/>
        </w:rPr>
      </w:pPr>
      <w:r w:rsidRPr="00692ACE">
        <w:t xml:space="preserve">Standard form contracts </w:t>
      </w:r>
      <w:r w:rsidR="00FA6E36" w:rsidRPr="00692ACE">
        <w:t xml:space="preserve">are </w:t>
      </w:r>
      <w:r w:rsidRPr="00692ACE">
        <w:t xml:space="preserve">typically contracts that are pre-prepared by a supplier. Such contracts usually are not subject to negotiation and do not take into account the specific characteristics of the other party. Standard form contracts were described by Lord Diplock in </w:t>
      </w:r>
      <w:r w:rsidRPr="00692ACE">
        <w:rPr>
          <w:i/>
        </w:rPr>
        <w:t>A Schroeder Music Publishing Co Ltd v Macaulay</w:t>
      </w:r>
      <w:r w:rsidRPr="00692ACE">
        <w:rPr>
          <w:rStyle w:val="FootnoteReference"/>
          <w:rFonts w:cs="Arial"/>
        </w:rPr>
        <w:footnoteReference w:id="38"/>
      </w:r>
      <w:r w:rsidRPr="00692ACE">
        <w:t xml:space="preserve"> as follows:</w:t>
      </w:r>
    </w:p>
    <w:p w14:paraId="42B05DEC" w14:textId="77777777" w:rsidR="00DB3D8D" w:rsidRPr="00692ACE" w:rsidRDefault="00DB3D8D" w:rsidP="00A06B7C">
      <w:pPr>
        <w:widowControl w:val="0"/>
        <w:autoSpaceDE w:val="0"/>
        <w:autoSpaceDN w:val="0"/>
        <w:adjustRightInd w:val="0"/>
        <w:spacing w:after="240" w:line="276" w:lineRule="auto"/>
        <w:ind w:left="993"/>
        <w:jc w:val="both"/>
        <w:rPr>
          <w:rFonts w:ascii="Arial" w:hAnsi="Arial" w:cs="Arial"/>
          <w:sz w:val="22"/>
          <w:lang w:val="en-AU"/>
        </w:rPr>
      </w:pPr>
      <w:r w:rsidRPr="00692ACE">
        <w:rPr>
          <w:rFonts w:ascii="Arial" w:hAnsi="Arial" w:cs="Arial"/>
          <w:sz w:val="22"/>
          <w:lang w:val="en-AU"/>
        </w:rPr>
        <w:t>The terms of this kind of standard form of contract have not been the subject of negotiation between the parties to it,</w:t>
      </w:r>
      <w:r w:rsidR="004E7E95">
        <w:rPr>
          <w:rFonts w:ascii="Arial" w:hAnsi="Arial" w:cs="Arial"/>
          <w:sz w:val="22"/>
          <w:lang w:val="en-AU"/>
        </w:rPr>
        <w:t xml:space="preserve"> </w:t>
      </w:r>
      <w:r w:rsidRPr="00692ACE">
        <w:rPr>
          <w:rFonts w:ascii="Arial" w:hAnsi="Arial" w:cs="Arial"/>
          <w:sz w:val="22"/>
          <w:lang w:val="en-AU"/>
        </w:rPr>
        <w:t xml:space="preserve">or approved by any organisation representing the interests of the weaker party. They have been dictated by that party whose bargaining power, either exercised alone or in conjunction with others providing similar goods or services, enables him to say: </w:t>
      </w:r>
      <w:r w:rsidRPr="00692ACE">
        <w:rPr>
          <w:rFonts w:ascii="Arial" w:hAnsi="Arial" w:cs="Arial"/>
          <w:sz w:val="22"/>
          <w:szCs w:val="22"/>
          <w:lang w:val="en-AU"/>
        </w:rPr>
        <w:t>‘If</w:t>
      </w:r>
      <w:r w:rsidRPr="00692ACE">
        <w:rPr>
          <w:rFonts w:ascii="Arial" w:hAnsi="Arial" w:cs="Arial"/>
          <w:sz w:val="22"/>
          <w:lang w:val="en-AU"/>
        </w:rPr>
        <w:t xml:space="preserve"> you want these goods or services at all, these are the only terms on which they are obtainable. Take it or leave it.</w:t>
      </w:r>
      <w:r w:rsidRPr="00692ACE">
        <w:rPr>
          <w:rFonts w:ascii="Arial" w:hAnsi="Arial" w:cs="Arial"/>
          <w:sz w:val="22"/>
          <w:szCs w:val="22"/>
          <w:lang w:val="en-AU"/>
        </w:rPr>
        <w:t>’</w:t>
      </w:r>
    </w:p>
    <w:p w14:paraId="030FF88F" w14:textId="77777777" w:rsidR="00DB3D8D" w:rsidRPr="00692ACE" w:rsidRDefault="00DB3D8D" w:rsidP="00A06B7C">
      <w:pPr>
        <w:pStyle w:val="NumberedParagraph"/>
        <w:ind w:left="567" w:hanging="567"/>
      </w:pPr>
      <w:r w:rsidRPr="00692ACE">
        <w:t xml:space="preserve">From the factors that a court must take into account under s 27(2), it appears that a contract is considered a standard form contract unless it was subject to effective and meaningful negotiations. Courts are likely to require a high threshold for the level of </w:t>
      </w:r>
      <w:r w:rsidRPr="00692ACE">
        <w:lastRenderedPageBreak/>
        <w:t>effective negotiations that must take place before holding that a supplier’s pre-prepared contract is not a standard form contract.</w:t>
      </w:r>
      <w:r w:rsidRPr="00692ACE">
        <w:rPr>
          <w:rStyle w:val="FootnoteReference"/>
          <w:rFonts w:cs="Arial"/>
        </w:rPr>
        <w:footnoteReference w:id="39"/>
      </w:r>
    </w:p>
    <w:p w14:paraId="16BF46EA" w14:textId="77777777" w:rsidR="00DB3D8D" w:rsidRPr="001858E9" w:rsidRDefault="00DB3D8D" w:rsidP="00A06B7C">
      <w:pPr>
        <w:pStyle w:val="Heading1"/>
        <w:spacing w:before="0" w:after="240" w:line="360" w:lineRule="auto"/>
        <w:jc w:val="both"/>
        <w:rPr>
          <w:rFonts w:ascii="Arial" w:hAnsi="Arial" w:cs="Arial"/>
          <w:b w:val="0"/>
          <w:color w:val="auto"/>
          <w:sz w:val="40"/>
          <w:u w:val="single"/>
          <w:lang w:val="en-AU"/>
        </w:rPr>
      </w:pPr>
      <w:bookmarkStart w:id="16" w:name="_Toc238801657"/>
      <w:bookmarkStart w:id="17" w:name="_Toc410758553"/>
      <w:bookmarkStart w:id="18" w:name="_Toc284521940"/>
      <w:bookmarkStart w:id="19" w:name="_Toc287000866"/>
      <w:r w:rsidRPr="00692ACE">
        <w:rPr>
          <w:rFonts w:ascii="Arial" w:hAnsi="Arial" w:cs="Arial"/>
          <w:b w:val="0"/>
          <w:color w:val="auto"/>
          <w:sz w:val="40"/>
          <w:u w:val="single"/>
          <w:lang w:val="en-AU"/>
        </w:rPr>
        <w:t>Contracts and Terms Exempted Under the UCTL</w:t>
      </w:r>
      <w:bookmarkEnd w:id="16"/>
      <w:bookmarkEnd w:id="17"/>
      <w:bookmarkEnd w:id="18"/>
      <w:bookmarkEnd w:id="19"/>
    </w:p>
    <w:p w14:paraId="431044FE" w14:textId="77777777" w:rsidR="00DB3D8D" w:rsidRPr="00692ACE" w:rsidRDefault="00DB3D8D" w:rsidP="00A06B7C">
      <w:pPr>
        <w:spacing w:after="240" w:line="360" w:lineRule="auto"/>
        <w:jc w:val="both"/>
        <w:rPr>
          <w:rFonts w:ascii="Arial" w:hAnsi="Arial" w:cs="Arial"/>
          <w:b/>
          <w:sz w:val="22"/>
          <w:lang w:val="en-AU"/>
        </w:rPr>
      </w:pPr>
      <w:r w:rsidRPr="00692ACE">
        <w:rPr>
          <w:rFonts w:ascii="Arial" w:hAnsi="Arial" w:cs="Arial"/>
          <w:b/>
          <w:sz w:val="22"/>
          <w:lang w:val="en-AU"/>
        </w:rPr>
        <w:t>Exempted contracts</w:t>
      </w:r>
    </w:p>
    <w:p w14:paraId="6233A7C7" w14:textId="77777777" w:rsidR="00DB3D8D" w:rsidRPr="00692ACE" w:rsidRDefault="00DB3D8D" w:rsidP="00A06B7C">
      <w:pPr>
        <w:pStyle w:val="NumberedParagraph"/>
        <w:ind w:left="567" w:hanging="567"/>
      </w:pPr>
      <w:r w:rsidRPr="00692ACE">
        <w:t>Certain contracts are excluded from the application of the UCTL. The UCTL does not apply to:</w:t>
      </w:r>
    </w:p>
    <w:p w14:paraId="72B85F85" w14:textId="77777777" w:rsidR="00DB3D8D" w:rsidRPr="004E7E95" w:rsidRDefault="00DB3D8D" w:rsidP="00942CC4">
      <w:pPr>
        <w:pStyle w:val="ListParagraph"/>
        <w:numPr>
          <w:ilvl w:val="1"/>
          <w:numId w:val="9"/>
        </w:numPr>
        <w:spacing w:after="240" w:line="360" w:lineRule="auto"/>
        <w:jc w:val="both"/>
        <w:rPr>
          <w:rFonts w:ascii="Arial" w:hAnsi="Arial" w:cs="Arial"/>
          <w:sz w:val="22"/>
          <w:szCs w:val="22"/>
          <w:lang w:val="en-AU"/>
        </w:rPr>
      </w:pPr>
      <w:r w:rsidRPr="004E7E95">
        <w:rPr>
          <w:rFonts w:ascii="Arial" w:hAnsi="Arial" w:cs="Arial"/>
          <w:sz w:val="22"/>
          <w:szCs w:val="22"/>
          <w:lang w:val="en-AU"/>
        </w:rPr>
        <w:t>certain shipping contracts, such as a contract of marine salvage or towage, a charter party of a ship or a contract for the carriage of goods by ship;</w:t>
      </w:r>
    </w:p>
    <w:p w14:paraId="2635768A" w14:textId="77777777" w:rsidR="009C7425" w:rsidRPr="004E7E95" w:rsidRDefault="00DB3D8D" w:rsidP="00942CC4">
      <w:pPr>
        <w:pStyle w:val="ListParagraph"/>
        <w:numPr>
          <w:ilvl w:val="1"/>
          <w:numId w:val="9"/>
        </w:numPr>
        <w:spacing w:after="240" w:line="360" w:lineRule="auto"/>
        <w:contextualSpacing w:val="0"/>
        <w:jc w:val="both"/>
        <w:rPr>
          <w:rFonts w:ascii="Arial" w:hAnsi="Arial" w:cs="Arial"/>
          <w:sz w:val="22"/>
          <w:szCs w:val="22"/>
          <w:lang w:val="en-AU"/>
        </w:rPr>
      </w:pPr>
      <w:r w:rsidRPr="004E7E95">
        <w:rPr>
          <w:rFonts w:ascii="Arial" w:hAnsi="Arial" w:cs="Arial"/>
          <w:sz w:val="22"/>
          <w:szCs w:val="22"/>
          <w:lang w:val="en-AU"/>
        </w:rPr>
        <w:t>a contract that is the constitution of a company, managed investment scheme or other kind of body</w:t>
      </w:r>
      <w:r w:rsidR="009C7425" w:rsidRPr="004E7E95">
        <w:rPr>
          <w:rFonts w:ascii="Arial" w:hAnsi="Arial" w:cs="Arial"/>
          <w:sz w:val="22"/>
          <w:szCs w:val="22"/>
          <w:lang w:val="en-AU"/>
        </w:rPr>
        <w:t>.</w:t>
      </w:r>
      <w:r w:rsidRPr="004E7E95">
        <w:rPr>
          <w:rStyle w:val="FootnoteReference"/>
          <w:rFonts w:ascii="Arial" w:hAnsi="Arial" w:cs="Arial"/>
          <w:sz w:val="22"/>
          <w:szCs w:val="22"/>
          <w:lang w:val="en-AU"/>
        </w:rPr>
        <w:footnoteReference w:id="40"/>
      </w:r>
    </w:p>
    <w:p w14:paraId="6C116479" w14:textId="77777777" w:rsidR="00DB3D8D" w:rsidRDefault="001F299A" w:rsidP="00A06B7C">
      <w:pPr>
        <w:pStyle w:val="NumberedParagraph"/>
        <w:ind w:left="567" w:hanging="567"/>
      </w:pPr>
      <w:r>
        <w:t>It used to be the case that s</w:t>
      </w:r>
      <w:r w:rsidR="00DB3D8D" w:rsidRPr="00692ACE">
        <w:t xml:space="preserve">ection 15 of the </w:t>
      </w:r>
      <w:r w:rsidR="00DB3D8D" w:rsidRPr="00692ACE">
        <w:rPr>
          <w:i/>
        </w:rPr>
        <w:t>Insurance Contracts Act</w:t>
      </w:r>
      <w:r w:rsidR="00DB3D8D" w:rsidRPr="00692ACE">
        <w:t xml:space="preserve"> </w:t>
      </w:r>
      <w:r w:rsidR="00DB3D8D" w:rsidRPr="00692ACE">
        <w:rPr>
          <w:i/>
        </w:rPr>
        <w:t>1984</w:t>
      </w:r>
      <w:r w:rsidR="00DB3D8D" w:rsidRPr="00692ACE">
        <w:t xml:space="preserve"> (</w:t>
      </w:r>
      <w:proofErr w:type="spellStart"/>
      <w:r w:rsidR="00DB3D8D" w:rsidRPr="00692ACE">
        <w:t>Cth</w:t>
      </w:r>
      <w:proofErr w:type="spellEnd"/>
      <w:r w:rsidR="00DB3D8D" w:rsidRPr="00692ACE">
        <w:t>) ha</w:t>
      </w:r>
      <w:r>
        <w:t>d</w:t>
      </w:r>
      <w:r w:rsidR="00DB3D8D" w:rsidRPr="00692ACE">
        <w:t xml:space="preserve"> the effect that the UCTL d</w:t>
      </w:r>
      <w:r w:rsidR="0041268A">
        <w:t>id</w:t>
      </w:r>
      <w:r w:rsidR="00DB3D8D" w:rsidRPr="00692ACE">
        <w:t xml:space="preserve"> not apply to insurance contracts. Section 15 provide</w:t>
      </w:r>
      <w:r w:rsidR="0041268A">
        <w:t>s</w:t>
      </w:r>
      <w:r w:rsidR="00DB3D8D" w:rsidRPr="00692ACE">
        <w:t xml:space="preserve"> that a contract of insurance cannot be made the subject of relief under any other Commonwealth Act, State Act</w:t>
      </w:r>
      <w:r w:rsidR="009D3AC0">
        <w:t>,</w:t>
      </w:r>
      <w:r w:rsidR="00DB3D8D" w:rsidRPr="00692ACE">
        <w:t xml:space="preserve"> Act or Ordinance of a Territory. Relief is defined as ‘relief in the form of judicial review of a contract on the ground</w:t>
      </w:r>
      <w:r w:rsidR="009D3AC0">
        <w:t>s</w:t>
      </w:r>
      <w:r w:rsidR="00DB3D8D" w:rsidRPr="00692ACE">
        <w:t xml:space="preserve"> that it is ha</w:t>
      </w:r>
      <w:r w:rsidR="009D3AC0">
        <w:t>r</w:t>
      </w:r>
      <w:r w:rsidR="00DB3D8D" w:rsidRPr="00692ACE">
        <w:t>sh, oppressive, unconscionable, unjust, unfair or inequitable’.</w:t>
      </w:r>
      <w:r w:rsidR="0041268A">
        <w:t xml:space="preserve">  In April 2021</w:t>
      </w:r>
      <w:r w:rsidR="00745766">
        <w:t xml:space="preserve"> -- following recommendations made by the Hayne Royal Commission </w:t>
      </w:r>
      <w:r w:rsidR="00745766" w:rsidRPr="00940723">
        <w:t>into Misconduct in the Banking, Superannuation and Financial Services Industr</w:t>
      </w:r>
      <w:r w:rsidR="00745766">
        <w:t xml:space="preserve">y -- </w:t>
      </w:r>
      <w:r w:rsidR="0041268A">
        <w:t xml:space="preserve">section 15 was amended to expressly bring </w:t>
      </w:r>
      <w:r w:rsidR="00745766">
        <w:t xml:space="preserve">standard </w:t>
      </w:r>
      <w:r w:rsidR="0041268A">
        <w:t>insurance contracts within the ambit of section 12BF of the ASIC Act.</w:t>
      </w:r>
    </w:p>
    <w:p w14:paraId="724855B6" w14:textId="0536192B" w:rsidR="00E706D6" w:rsidRDefault="00E706D6" w:rsidP="00A06B7C">
      <w:pPr>
        <w:pStyle w:val="NumberedParagraph"/>
        <w:ind w:left="567" w:hanging="567"/>
      </w:pPr>
      <w:r>
        <w:t xml:space="preserve">Under changes </w:t>
      </w:r>
      <w:r w:rsidR="00393CA9">
        <w:t xml:space="preserve">made by </w:t>
      </w:r>
      <w:r>
        <w:t xml:space="preserve">the Amendment </w:t>
      </w:r>
      <w:r w:rsidR="00393CA9">
        <w:t>Act</w:t>
      </w:r>
      <w:r>
        <w:t>, additional categories of contract will be excluded from the operation of the UCTL, including:</w:t>
      </w:r>
    </w:p>
    <w:p w14:paraId="5C0D2CB7" w14:textId="77777777" w:rsidR="00E706D6" w:rsidRDefault="00E706D6" w:rsidP="00A06B7C">
      <w:pPr>
        <w:pStyle w:val="NumberedParagraph"/>
        <w:numPr>
          <w:ilvl w:val="1"/>
          <w:numId w:val="1"/>
        </w:numPr>
        <w:spacing w:line="276" w:lineRule="auto"/>
      </w:pPr>
      <w:r>
        <w:t>the operating rules of licensed financial markets such as ASX Limited;</w:t>
      </w:r>
    </w:p>
    <w:p w14:paraId="00793D3B" w14:textId="77777777" w:rsidR="00E706D6" w:rsidRDefault="00E706D6" w:rsidP="00A06B7C">
      <w:pPr>
        <w:pStyle w:val="NumberedParagraph"/>
        <w:numPr>
          <w:ilvl w:val="1"/>
          <w:numId w:val="1"/>
        </w:numPr>
        <w:spacing w:line="276" w:lineRule="auto"/>
      </w:pPr>
      <w:r>
        <w:t xml:space="preserve">the operating rules of licensed clearing and settlement facilities; </w:t>
      </w:r>
    </w:p>
    <w:p w14:paraId="462E9E41" w14:textId="77777777" w:rsidR="00E706D6" w:rsidRDefault="00E706D6" w:rsidP="00A06B7C">
      <w:pPr>
        <w:pStyle w:val="NumberedParagraph"/>
        <w:numPr>
          <w:ilvl w:val="1"/>
          <w:numId w:val="1"/>
        </w:numPr>
        <w:spacing w:line="276" w:lineRule="auto"/>
      </w:pPr>
      <w:r>
        <w:t>real time gross settlement systems approved as payment and settlement systems by the RBA.</w:t>
      </w:r>
    </w:p>
    <w:p w14:paraId="35AC54E1" w14:textId="07702DE3" w:rsidR="00E706D6" w:rsidRPr="00692ACE" w:rsidRDefault="00E706D6" w:rsidP="00A06B7C">
      <w:pPr>
        <w:pStyle w:val="NumberedParagraph"/>
        <w:numPr>
          <w:ilvl w:val="1"/>
          <w:numId w:val="1"/>
        </w:numPr>
        <w:spacing w:line="276" w:lineRule="auto"/>
      </w:pPr>
      <w:r>
        <w:t xml:space="preserve">certain life policies within the </w:t>
      </w:r>
      <w:r w:rsidRPr="00E706D6">
        <w:rPr>
          <w:i/>
        </w:rPr>
        <w:t>Life Insurance Act 1995</w:t>
      </w:r>
      <w:r>
        <w:t xml:space="preserve"> such as guaranteed renewal contracts.</w:t>
      </w:r>
    </w:p>
    <w:p w14:paraId="2F4108C4" w14:textId="77777777" w:rsidR="00DB3D8D" w:rsidRPr="00692ACE" w:rsidRDefault="00DB3D8D" w:rsidP="00A06B7C">
      <w:pPr>
        <w:spacing w:after="240" w:line="360" w:lineRule="auto"/>
        <w:jc w:val="both"/>
        <w:rPr>
          <w:rFonts w:ascii="Arial" w:hAnsi="Arial" w:cs="Arial"/>
          <w:b/>
          <w:sz w:val="22"/>
          <w:lang w:val="en-AU"/>
        </w:rPr>
      </w:pPr>
      <w:r w:rsidRPr="00692ACE">
        <w:rPr>
          <w:rFonts w:ascii="Arial" w:hAnsi="Arial" w:cs="Arial"/>
          <w:b/>
          <w:sz w:val="22"/>
          <w:lang w:val="en-AU"/>
        </w:rPr>
        <w:lastRenderedPageBreak/>
        <w:t>Exempted terms</w:t>
      </w:r>
    </w:p>
    <w:p w14:paraId="6CFA168D" w14:textId="759D17D5" w:rsidR="00DB3D8D" w:rsidRPr="00692ACE" w:rsidRDefault="00DB3D8D" w:rsidP="00A06B7C">
      <w:pPr>
        <w:pStyle w:val="NumberedParagraph"/>
        <w:ind w:left="567" w:hanging="567"/>
      </w:pPr>
      <w:r w:rsidRPr="00692ACE">
        <w:t>The UCTL does not apply to terms in a standard form contract that define the main subject matter of the contract or set the upfront price payable under the contract.</w:t>
      </w:r>
    </w:p>
    <w:p w14:paraId="514006C6" w14:textId="77777777" w:rsidR="00DB3D8D" w:rsidRPr="001A7FB0" w:rsidRDefault="00DB3D8D" w:rsidP="00A06B7C">
      <w:pPr>
        <w:spacing w:after="240" w:line="360" w:lineRule="auto"/>
        <w:jc w:val="both"/>
        <w:rPr>
          <w:rFonts w:ascii="Arial" w:hAnsi="Arial" w:cs="Arial"/>
          <w:b/>
          <w:sz w:val="22"/>
          <w:lang w:val="en-AU"/>
        </w:rPr>
      </w:pPr>
      <w:r w:rsidRPr="001A7FB0">
        <w:rPr>
          <w:rFonts w:ascii="Arial" w:hAnsi="Arial" w:cs="Arial"/>
          <w:b/>
          <w:sz w:val="22"/>
          <w:lang w:val="en-AU"/>
        </w:rPr>
        <w:t>Main subject matter</w:t>
      </w:r>
    </w:p>
    <w:p w14:paraId="2050B4F8" w14:textId="77777777" w:rsidR="00DB3D8D" w:rsidRPr="00692ACE" w:rsidRDefault="00DB3D8D" w:rsidP="00A06B7C">
      <w:pPr>
        <w:pStyle w:val="NumberedParagraph"/>
        <w:ind w:left="567" w:hanging="567"/>
      </w:pPr>
      <w:r w:rsidRPr="00692ACE">
        <w:t>The main subject matter of a contract refers to the goods, services or interests in land that the consumer acquires under the contract. The main subject matter may also include a term that is necessary to give effect to the supply or grant under the contract or without which the supply or grant could not occur. The reason for excluding such terms is that these matters invariably are subject to genuine negotiation between the consumer and the supplier, allowing the consumer to exercise a choice in these matters before entering into the contract.</w:t>
      </w:r>
      <w:r w:rsidRPr="00692ACE">
        <w:rPr>
          <w:rStyle w:val="FootnoteReference"/>
          <w:rFonts w:cs="Arial"/>
        </w:rPr>
        <w:t xml:space="preserve"> </w:t>
      </w:r>
      <w:r w:rsidRPr="00692ACE">
        <w:rPr>
          <w:rStyle w:val="FootnoteReference"/>
          <w:rFonts w:cs="Arial"/>
        </w:rPr>
        <w:footnoteReference w:id="41"/>
      </w:r>
    </w:p>
    <w:p w14:paraId="533B5C2B" w14:textId="77777777" w:rsidR="00DB3D8D" w:rsidRPr="00692ACE" w:rsidRDefault="00DB3D8D" w:rsidP="00A06B7C">
      <w:pPr>
        <w:pStyle w:val="NumberedParagraph"/>
        <w:ind w:left="567" w:hanging="567"/>
      </w:pPr>
      <w:r w:rsidRPr="00692ACE">
        <w:t>By excluding terms that define the main subject matter of the contract, the legislation reflects a compromise between the opposing aims of consumer protection and freedom of contract.</w:t>
      </w:r>
      <w:r w:rsidRPr="00692ACE">
        <w:rPr>
          <w:rStyle w:val="FootnoteReference"/>
          <w:rFonts w:cs="Arial"/>
        </w:rPr>
        <w:footnoteReference w:id="42"/>
      </w:r>
      <w:r w:rsidRPr="00692ACE">
        <w:t xml:space="preserve"> Thus, the decision-making autonomy of consumers is respected and consumers are prevented from using the UCTL to renege on a bargain on the grounds of price or quality.</w:t>
      </w:r>
      <w:r w:rsidRPr="00692ACE">
        <w:rPr>
          <w:rStyle w:val="FootnoteReference"/>
          <w:rFonts w:cs="Arial"/>
        </w:rPr>
        <w:footnoteReference w:id="43"/>
      </w:r>
      <w:r w:rsidRPr="00692ACE">
        <w:t xml:space="preserve"> As stated by Harbison J in </w:t>
      </w:r>
      <w:r w:rsidRPr="00692ACE">
        <w:rPr>
          <w:i/>
        </w:rPr>
        <w:t xml:space="preserve">Director of Consumer Affairs Victoria v Craig Langley Pty Ltd &amp; Matrix </w:t>
      </w:r>
      <w:r w:rsidR="005C3658" w:rsidRPr="00692ACE">
        <w:rPr>
          <w:i/>
        </w:rPr>
        <w:t>Pilates</w:t>
      </w:r>
      <w:r w:rsidRPr="00692ACE">
        <w:rPr>
          <w:i/>
        </w:rPr>
        <w:t xml:space="preserve"> &amp; Yoga Pty Ltd</w:t>
      </w:r>
      <w:r w:rsidRPr="00692ACE">
        <w:rPr>
          <w:rStyle w:val="FootnoteReference"/>
          <w:rFonts w:cs="Arial"/>
        </w:rPr>
        <w:t xml:space="preserve"> </w:t>
      </w:r>
      <w:r w:rsidRPr="00692ACE">
        <w:rPr>
          <w:rStyle w:val="FootnoteReference"/>
          <w:rFonts w:cs="Arial"/>
        </w:rPr>
        <w:footnoteReference w:id="44"/>
      </w:r>
    </w:p>
    <w:p w14:paraId="274BC1CD" w14:textId="77777777" w:rsidR="00DB3D8D" w:rsidRPr="00692ACE" w:rsidRDefault="00DB3D8D" w:rsidP="00A06B7C">
      <w:pPr>
        <w:spacing w:after="240" w:line="276" w:lineRule="auto"/>
        <w:ind w:left="993"/>
        <w:jc w:val="both"/>
        <w:rPr>
          <w:rFonts w:ascii="Arial" w:hAnsi="Arial" w:cs="Arial"/>
          <w:sz w:val="22"/>
          <w:lang w:val="en-AU"/>
        </w:rPr>
      </w:pPr>
      <w:r w:rsidRPr="00692ACE">
        <w:rPr>
          <w:rFonts w:ascii="Arial" w:hAnsi="Arial" w:cs="Arial"/>
          <w:sz w:val="22"/>
          <w:szCs w:val="22"/>
          <w:lang w:val="en-AU"/>
        </w:rPr>
        <w:t>S</w:t>
      </w:r>
      <w:r w:rsidRPr="00692ACE">
        <w:rPr>
          <w:rFonts w:ascii="Arial" w:hAnsi="Arial" w:cs="Arial"/>
          <w:sz w:val="22"/>
          <w:lang w:val="en-AU"/>
        </w:rPr>
        <w:t xml:space="preserve"> 32X requires me to consider whether or not the terms have been individually negotiated. Although no guidance on how this should be applied is found in the Act, it appears to me to reflect the </w:t>
      </w:r>
      <w:r w:rsidR="009B5DA6" w:rsidRPr="00692ACE">
        <w:rPr>
          <w:rFonts w:ascii="Arial" w:hAnsi="Arial" w:cs="Arial"/>
          <w:sz w:val="22"/>
          <w:lang w:val="en-AU"/>
        </w:rPr>
        <w:t>common sense</w:t>
      </w:r>
      <w:r w:rsidRPr="00692ACE">
        <w:rPr>
          <w:rFonts w:ascii="Arial" w:hAnsi="Arial" w:cs="Arial"/>
          <w:sz w:val="22"/>
          <w:lang w:val="en-AU"/>
        </w:rPr>
        <w:t xml:space="preserve"> view that terms of a consumer contract which have been the subject of genuine negotiation should not be lightly declared unfair. This legislation is designed to protect consumers from unfair contracts, not to allow a party to a contract who has genuinely reflected on its terms and negotiated them to be released from a contract term from which he or she later wishes to resile.</w:t>
      </w:r>
    </w:p>
    <w:p w14:paraId="2056A9B2" w14:textId="77777777" w:rsidR="00DB3D8D" w:rsidRPr="00692ACE" w:rsidRDefault="00DB3D8D" w:rsidP="00A06B7C">
      <w:pPr>
        <w:pStyle w:val="NumberedParagraph"/>
        <w:ind w:left="567" w:hanging="567"/>
      </w:pPr>
      <w:r w:rsidRPr="00692ACE">
        <w:t>While the UCTL does not apply to terms that define the main subject matter of the contract insofar as they relate to the quality of the goods or services provided, such terms may be regulated by the consumer guarantee provisions in Pt 3-2 of the ACL.</w:t>
      </w:r>
      <w:r w:rsidRPr="00692ACE">
        <w:rPr>
          <w:rStyle w:val="FootnoteReference"/>
          <w:rFonts w:cs="Arial"/>
        </w:rPr>
        <w:footnoteReference w:id="45"/>
      </w:r>
    </w:p>
    <w:p w14:paraId="37B8CB6F" w14:textId="77777777" w:rsidR="00DB3D8D" w:rsidRPr="00692ACE" w:rsidRDefault="00DB3D8D" w:rsidP="00A06B7C">
      <w:pPr>
        <w:pStyle w:val="NumberedParagraph"/>
        <w:ind w:left="567" w:hanging="567"/>
      </w:pPr>
      <w:r w:rsidRPr="00692ACE">
        <w:t xml:space="preserve">It might not always be easy to determine what the main subject matter of a contract is. In a broad sense, all terms of a contract are in some way related to the price or </w:t>
      </w:r>
      <w:r w:rsidRPr="00692ACE">
        <w:lastRenderedPageBreak/>
        <w:t>remuneration, especially in the case when a bundle of services is provided. Jeannie Patterson</w:t>
      </w:r>
      <w:r w:rsidRPr="00692ACE">
        <w:rPr>
          <w:rStyle w:val="FootnoteReference"/>
          <w:rFonts w:cs="Arial"/>
        </w:rPr>
        <w:footnoteReference w:id="46"/>
      </w:r>
      <w:r w:rsidRPr="00692ACE">
        <w:t xml:space="preserve"> gives the following example:</w:t>
      </w:r>
    </w:p>
    <w:p w14:paraId="47613CE3" w14:textId="77777777" w:rsidR="00DB3D8D" w:rsidRPr="00692ACE" w:rsidRDefault="00DB3D8D" w:rsidP="00A06B7C">
      <w:pPr>
        <w:spacing w:after="240" w:line="276" w:lineRule="auto"/>
        <w:ind w:left="1134"/>
        <w:jc w:val="both"/>
        <w:rPr>
          <w:rFonts w:ascii="Arial" w:hAnsi="Arial" w:cs="Arial"/>
          <w:sz w:val="22"/>
          <w:lang w:val="en-AU"/>
        </w:rPr>
      </w:pPr>
      <w:r w:rsidRPr="00692ACE">
        <w:rPr>
          <w:rFonts w:ascii="Arial" w:hAnsi="Arial" w:cs="Arial"/>
          <w:sz w:val="22"/>
          <w:lang w:val="en-AU"/>
        </w:rPr>
        <w:t>Consider</w:t>
      </w:r>
      <w:r w:rsidRPr="00692ACE">
        <w:rPr>
          <w:rFonts w:ascii="Arial" w:hAnsi="Arial" w:cs="Arial"/>
          <w:sz w:val="22"/>
          <w:szCs w:val="22"/>
          <w:lang w:val="en-AU"/>
        </w:rPr>
        <w:t xml:space="preserve"> … </w:t>
      </w:r>
      <w:r w:rsidRPr="00692ACE">
        <w:rPr>
          <w:rFonts w:ascii="Arial" w:hAnsi="Arial" w:cs="Arial"/>
          <w:sz w:val="22"/>
          <w:lang w:val="en-AU"/>
        </w:rPr>
        <w:t>a contract for a package holiday. In such a case, is the main subject matter the holiday destination, or also the transport to that destination and the tours and activities offered on arrival?</w:t>
      </w:r>
      <w:r w:rsidRPr="00692ACE">
        <w:rPr>
          <w:rStyle w:val="FootnoteReference"/>
          <w:rFonts w:ascii="Arial" w:hAnsi="Arial" w:cs="Arial"/>
          <w:sz w:val="22"/>
          <w:lang w:val="en-AU"/>
        </w:rPr>
        <w:footnoteReference w:id="47"/>
      </w:r>
    </w:p>
    <w:p w14:paraId="7869A8F4" w14:textId="25251E74" w:rsidR="00DB3D8D" w:rsidRPr="00692ACE" w:rsidRDefault="00DB3D8D" w:rsidP="00A06B7C">
      <w:pPr>
        <w:pStyle w:val="NumberedParagraph"/>
        <w:ind w:left="567" w:hanging="567"/>
      </w:pPr>
      <w:r w:rsidRPr="00692ACE">
        <w:t>Courts in England, applying the UTCCR</w:t>
      </w:r>
      <w:r w:rsidR="005B366C">
        <w:rPr>
          <w:rStyle w:val="FootnoteReference"/>
        </w:rPr>
        <w:footnoteReference w:id="48"/>
      </w:r>
      <w:r w:rsidRPr="00692ACE">
        <w:t xml:space="preserve">, have interpreted the core terms exemption restrictively. In </w:t>
      </w:r>
      <w:r w:rsidRPr="00692ACE">
        <w:rPr>
          <w:i/>
        </w:rPr>
        <w:t>Director General of Fair Trading v First National Bank</w:t>
      </w:r>
      <w:r w:rsidRPr="00692ACE">
        <w:rPr>
          <w:iCs/>
        </w:rPr>
        <w:t>,</w:t>
      </w:r>
      <w:r w:rsidRPr="00692ACE">
        <w:rPr>
          <w:rStyle w:val="FootnoteReference"/>
          <w:rFonts w:cs="Arial"/>
          <w:iCs/>
        </w:rPr>
        <w:footnoteReference w:id="49"/>
      </w:r>
      <w:r w:rsidRPr="00692ACE">
        <w:rPr>
          <w:iCs/>
        </w:rPr>
        <w:t xml:space="preserve"> </w:t>
      </w:r>
      <w:r w:rsidRPr="00692ACE">
        <w:t>Lord Bingham stated that:</w:t>
      </w:r>
    </w:p>
    <w:p w14:paraId="08838657" w14:textId="77777777" w:rsidR="00A04E30" w:rsidRPr="00692ACE" w:rsidRDefault="00DB3D8D" w:rsidP="00A06B7C">
      <w:pPr>
        <w:spacing w:after="240" w:line="276" w:lineRule="auto"/>
        <w:ind w:left="993"/>
        <w:jc w:val="both"/>
        <w:rPr>
          <w:rFonts w:ascii="Arial" w:hAnsi="Arial" w:cs="Arial"/>
          <w:sz w:val="22"/>
          <w:lang w:val="en-AU"/>
        </w:rPr>
      </w:pPr>
      <w:r w:rsidRPr="00692ACE">
        <w:rPr>
          <w:rFonts w:ascii="Arial" w:hAnsi="Arial" w:cs="Arial"/>
          <w:sz w:val="22"/>
          <w:lang w:val="en-AU"/>
        </w:rPr>
        <w:t xml:space="preserve">There is an important distinction between the term or terms which express the substance of the bargain and </w:t>
      </w:r>
      <w:r w:rsidRPr="00692ACE">
        <w:rPr>
          <w:rFonts w:ascii="Arial" w:hAnsi="Arial" w:cs="Arial"/>
          <w:sz w:val="22"/>
          <w:szCs w:val="22"/>
          <w:lang w:val="en-AU"/>
        </w:rPr>
        <w:t>“incidental”</w:t>
      </w:r>
      <w:r w:rsidRPr="00692ACE">
        <w:rPr>
          <w:rFonts w:ascii="Arial" w:hAnsi="Arial" w:cs="Arial"/>
          <w:sz w:val="22"/>
          <w:lang w:val="en-AU"/>
        </w:rPr>
        <w:t xml:space="preserve"> (if important) terms which surround </w:t>
      </w:r>
      <w:r w:rsidRPr="00692ACE">
        <w:rPr>
          <w:rFonts w:ascii="Arial" w:hAnsi="Arial" w:cs="Arial"/>
          <w:sz w:val="22"/>
          <w:szCs w:val="22"/>
          <w:lang w:val="en-AU"/>
        </w:rPr>
        <w:t>them</w:t>
      </w:r>
      <w:r w:rsidRPr="00692ACE">
        <w:rPr>
          <w:rFonts w:ascii="Arial" w:hAnsi="Arial" w:cs="Arial"/>
          <w:sz w:val="22"/>
          <w:lang w:val="en-AU"/>
        </w:rPr>
        <w:t xml:space="preserve"> (</w:t>
      </w:r>
      <w:r w:rsidRPr="00692ACE">
        <w:rPr>
          <w:rFonts w:ascii="Arial" w:hAnsi="Arial" w:cs="Arial"/>
          <w:i/>
          <w:sz w:val="22"/>
          <w:lang w:val="en-AU"/>
        </w:rPr>
        <w:t>Chitty on Contracts</w:t>
      </w:r>
      <w:r w:rsidRPr="00692ACE">
        <w:rPr>
          <w:rFonts w:ascii="Arial" w:hAnsi="Arial" w:cs="Arial"/>
          <w:sz w:val="22"/>
          <w:lang w:val="en-AU"/>
        </w:rPr>
        <w:t xml:space="preserve">, 28th ed, 1999, </w:t>
      </w:r>
      <w:r w:rsidRPr="00692ACE">
        <w:rPr>
          <w:rFonts w:ascii="Arial" w:hAnsi="Arial" w:cs="Arial"/>
          <w:sz w:val="22"/>
          <w:szCs w:val="22"/>
          <w:lang w:val="en-AU"/>
        </w:rPr>
        <w:t>‘</w:t>
      </w:r>
      <w:r w:rsidRPr="00692ACE">
        <w:rPr>
          <w:rFonts w:ascii="Arial" w:hAnsi="Arial" w:cs="Arial"/>
          <w:sz w:val="22"/>
          <w:lang w:val="en-AU"/>
        </w:rPr>
        <w:t xml:space="preserve">Unfair Terms in Consumer </w:t>
      </w:r>
      <w:r w:rsidRPr="00692ACE">
        <w:rPr>
          <w:rFonts w:ascii="Arial" w:hAnsi="Arial" w:cs="Arial"/>
          <w:sz w:val="22"/>
          <w:szCs w:val="22"/>
          <w:lang w:val="en-AU"/>
        </w:rPr>
        <w:t>Contracts’,</w:t>
      </w:r>
      <w:r w:rsidRPr="00692ACE">
        <w:rPr>
          <w:rFonts w:ascii="Arial" w:hAnsi="Arial" w:cs="Arial"/>
          <w:sz w:val="22"/>
          <w:lang w:val="en-AU"/>
        </w:rPr>
        <w:t xml:space="preserve"> p 747, para 15-025). The object of the regulations and the directive is to protect consumers against the inclusion of unfair and prejudicial terms in standard form contracts into which they enter, and that object would plainly be frustrated if regulation 3(2)(b) were so broadly interpreted as to cover any terms other than those falling squarely within it. </w:t>
      </w:r>
    </w:p>
    <w:p w14:paraId="38C56816" w14:textId="77777777" w:rsidR="00DB3D8D" w:rsidRPr="00692ACE" w:rsidRDefault="00DB3D8D" w:rsidP="00A06B7C">
      <w:pPr>
        <w:pStyle w:val="NumberedParagraph"/>
        <w:ind w:left="567" w:hanging="567"/>
      </w:pPr>
      <w:r w:rsidRPr="00692ACE">
        <w:t xml:space="preserve">The English case of </w:t>
      </w:r>
      <w:r w:rsidRPr="00692ACE">
        <w:rPr>
          <w:i/>
        </w:rPr>
        <w:t>Office of Fair Trading v Ashbourne Management Services Ltd</w:t>
      </w:r>
      <w:r w:rsidRPr="00692ACE">
        <w:rPr>
          <w:rStyle w:val="FootnoteReference"/>
          <w:rFonts w:cs="Arial"/>
        </w:rPr>
        <w:footnoteReference w:id="50"/>
      </w:r>
      <w:r w:rsidRPr="00692ACE">
        <w:t xml:space="preserve"> concerned the fairness of a term in the defendant’s standard form contract that required members who signed up to a gym to remain members for a minimum period of 12, 24 or 36 months. Members were liable to pay the monthly membership fee for the whole of the minimum period even if they wanted to terminate their gym membership early. </w:t>
      </w:r>
      <w:proofErr w:type="spellStart"/>
      <w:r w:rsidRPr="00692ACE">
        <w:t>Kitchin</w:t>
      </w:r>
      <w:proofErr w:type="spellEnd"/>
      <w:r w:rsidRPr="00692ACE">
        <w:t xml:space="preserve"> J held that regulation 6(2)(b) under the UTCCR</w:t>
      </w:r>
      <w:r w:rsidRPr="00692ACE">
        <w:rPr>
          <w:rStyle w:val="FootnoteReference"/>
          <w:rFonts w:cs="Arial"/>
        </w:rPr>
        <w:footnoteReference w:id="51"/>
      </w:r>
      <w:r w:rsidRPr="00692ACE">
        <w:t xml:space="preserve"> precludes assessment of the fairness of a term related to the main subject matter of the contract. The main subject matter of the contract included such matters as the meaning or description of the length of the minimum period, the facilities to which the members gained access and the amount of the monthly subscription fee members had to pay. Regulation 6(2)(b) did not preclude assessment of the fairness of the impugned term so far as it related to the consequences of early termination.</w:t>
      </w:r>
      <w:r w:rsidRPr="00692ACE">
        <w:rPr>
          <w:rStyle w:val="FootnoteReference"/>
          <w:rFonts w:cs="Arial"/>
        </w:rPr>
        <w:footnoteReference w:id="52"/>
      </w:r>
      <w:r w:rsidRPr="00692ACE">
        <w:t xml:space="preserve"> On the facts, it was held that the term was an unfair term.</w:t>
      </w:r>
    </w:p>
    <w:p w14:paraId="0836DB7A" w14:textId="77777777" w:rsidR="00DB3D8D" w:rsidRPr="001A7FB0" w:rsidRDefault="00DB3D8D" w:rsidP="00A06B7C">
      <w:pPr>
        <w:spacing w:after="240" w:line="360" w:lineRule="auto"/>
        <w:jc w:val="both"/>
        <w:rPr>
          <w:rFonts w:ascii="Arial" w:hAnsi="Arial" w:cs="Arial"/>
          <w:b/>
          <w:sz w:val="22"/>
          <w:lang w:val="en-AU"/>
        </w:rPr>
      </w:pPr>
      <w:r w:rsidRPr="001A7FB0">
        <w:rPr>
          <w:rFonts w:ascii="Arial" w:hAnsi="Arial" w:cs="Arial"/>
          <w:b/>
          <w:sz w:val="22"/>
          <w:lang w:val="en-AU"/>
        </w:rPr>
        <w:t>Upfront price</w:t>
      </w:r>
    </w:p>
    <w:p w14:paraId="3B8E95BC" w14:textId="77777777" w:rsidR="00DB3D8D" w:rsidRPr="00692ACE" w:rsidRDefault="00DB3D8D" w:rsidP="00A06B7C">
      <w:pPr>
        <w:pStyle w:val="NumberedParagraph"/>
        <w:ind w:left="567" w:hanging="567"/>
      </w:pPr>
      <w:r w:rsidRPr="00692ACE">
        <w:lastRenderedPageBreak/>
        <w:t>Upfront price is defined in s 26 of the ACL. The Explanatory Memorandum to the ACL states that:</w:t>
      </w:r>
    </w:p>
    <w:p w14:paraId="681332E6" w14:textId="77777777" w:rsidR="00DB3D8D" w:rsidRPr="00692ACE" w:rsidRDefault="00DB3D8D" w:rsidP="00A06B7C">
      <w:pPr>
        <w:spacing w:after="240" w:line="276" w:lineRule="auto"/>
        <w:ind w:left="993"/>
        <w:jc w:val="both"/>
        <w:rPr>
          <w:rFonts w:ascii="Arial" w:hAnsi="Arial" w:cs="Arial"/>
          <w:sz w:val="22"/>
          <w:lang w:val="en-AU"/>
        </w:rPr>
      </w:pPr>
      <w:r w:rsidRPr="00692ACE">
        <w:rPr>
          <w:rFonts w:ascii="Arial" w:hAnsi="Arial" w:cs="Arial"/>
          <w:sz w:val="22"/>
          <w:lang w:val="en-AU"/>
        </w:rPr>
        <w:t>The exclusion of upfront price means that a term concerning the upfront price cannot be challenged on the basis that it is unfair. Having agreed to provide a particular amount of consideration when the contract was made, which was disclosed at or before the time the contract was entered into, a person cannot then argue that that consideration is unfair at a later time. The upfront price is a matter about which the person has a choice and, in many cases, may negotiate.</w:t>
      </w:r>
      <w:r w:rsidRPr="00692ACE">
        <w:rPr>
          <w:rStyle w:val="FootnoteReference"/>
          <w:rFonts w:ascii="Arial" w:hAnsi="Arial" w:cs="Arial"/>
          <w:sz w:val="22"/>
          <w:lang w:val="en-AU"/>
        </w:rPr>
        <w:footnoteReference w:id="53"/>
      </w:r>
    </w:p>
    <w:p w14:paraId="43948715" w14:textId="77777777" w:rsidR="00DB3D8D" w:rsidRPr="00692ACE" w:rsidRDefault="00DB3D8D" w:rsidP="00A06B7C">
      <w:pPr>
        <w:pStyle w:val="NumberedParagraph"/>
        <w:ind w:left="567" w:hanging="567"/>
      </w:pPr>
      <w:r w:rsidRPr="00692ACE">
        <w:t xml:space="preserve">The upfront price includes the cash price payable under the contract. It </w:t>
      </w:r>
      <w:r w:rsidR="009D3AC0">
        <w:t xml:space="preserve">is </w:t>
      </w:r>
      <w:r w:rsidRPr="00692ACE">
        <w:t xml:space="preserve">likely </w:t>
      </w:r>
      <w:r w:rsidR="009D3AC0">
        <w:t xml:space="preserve">the </w:t>
      </w:r>
      <w:r w:rsidR="009D3AC0" w:rsidRPr="00692ACE">
        <w:t xml:space="preserve">upfront price </w:t>
      </w:r>
      <w:r w:rsidRPr="00692ACE">
        <w:t>also includes future payments or a series of payments, provided that they are disclosed at or before the time the contract is entered into. In this regard, the Explanatory Memorandum states that:</w:t>
      </w:r>
    </w:p>
    <w:p w14:paraId="340F0F31" w14:textId="77777777" w:rsidR="00DB3D8D" w:rsidRPr="00692ACE" w:rsidRDefault="00DB3D8D" w:rsidP="00A06B7C">
      <w:pPr>
        <w:spacing w:after="240" w:line="276" w:lineRule="auto"/>
        <w:ind w:left="993"/>
        <w:jc w:val="both"/>
        <w:rPr>
          <w:rFonts w:ascii="Arial" w:hAnsi="Arial" w:cs="Arial"/>
          <w:sz w:val="22"/>
          <w:lang w:val="en-AU"/>
        </w:rPr>
      </w:pPr>
      <w:r w:rsidRPr="00692ACE">
        <w:rPr>
          <w:rFonts w:ascii="Arial" w:hAnsi="Arial" w:cs="Arial"/>
          <w:sz w:val="22"/>
          <w:lang w:val="en-AU"/>
        </w:rPr>
        <w:t>A key consideration for a court in considering whether a future payment, or a series of future payments, forms the upfront price may be the transparency of the disclosure of such payment or the basis on which such payments may be determined, at or before the time the contract is made.</w:t>
      </w:r>
      <w:r w:rsidRPr="00692ACE">
        <w:rPr>
          <w:rStyle w:val="FootnoteReference"/>
          <w:rFonts w:ascii="Arial" w:hAnsi="Arial" w:cs="Arial"/>
          <w:sz w:val="22"/>
          <w:lang w:val="en-AU"/>
        </w:rPr>
        <w:footnoteReference w:id="54"/>
      </w:r>
    </w:p>
    <w:p w14:paraId="40C6871E" w14:textId="77777777" w:rsidR="00DB3D8D" w:rsidRPr="00692ACE" w:rsidRDefault="00DB3D8D" w:rsidP="00A06B7C">
      <w:pPr>
        <w:pStyle w:val="NumberedParagraph"/>
        <w:ind w:left="567" w:hanging="567"/>
      </w:pPr>
      <w:r w:rsidRPr="00692ACE">
        <w:t xml:space="preserve">In the case of consumer credit contracts, s 12BI of the ASIC Act provides that the consideration excluded from review (the upfront price) includes the total amount of </w:t>
      </w:r>
      <w:r w:rsidR="009D3AC0">
        <w:t xml:space="preserve">the </w:t>
      </w:r>
      <w:r w:rsidRPr="00692ACE">
        <w:t>principal that is owed under the contract.</w:t>
      </w:r>
    </w:p>
    <w:p w14:paraId="1B3A6C35" w14:textId="77777777" w:rsidR="00DB3D8D" w:rsidRPr="001A7FB0" w:rsidRDefault="00DB3D8D" w:rsidP="00A06B7C">
      <w:pPr>
        <w:spacing w:after="240" w:line="360" w:lineRule="auto"/>
        <w:jc w:val="both"/>
        <w:rPr>
          <w:rFonts w:ascii="Arial" w:hAnsi="Arial" w:cs="Arial"/>
          <w:b/>
          <w:sz w:val="22"/>
          <w:lang w:val="en-AU"/>
        </w:rPr>
      </w:pPr>
      <w:r w:rsidRPr="001A7FB0">
        <w:rPr>
          <w:rFonts w:ascii="Arial" w:hAnsi="Arial" w:cs="Arial"/>
          <w:b/>
          <w:sz w:val="22"/>
          <w:lang w:val="en-AU"/>
        </w:rPr>
        <w:t>Terms permitted by law</w:t>
      </w:r>
    </w:p>
    <w:p w14:paraId="2B55ECB8" w14:textId="77777777" w:rsidR="00DB3D8D" w:rsidRDefault="00DB3D8D" w:rsidP="00A06B7C">
      <w:pPr>
        <w:pStyle w:val="NumberedParagraph"/>
        <w:ind w:left="567" w:hanging="567"/>
      </w:pPr>
      <w:r w:rsidRPr="00692ACE">
        <w:t>The UCTL excludes from review for unfairness terms required or expressly permitted by a law of the Commonwealth, a state or a territory.</w:t>
      </w:r>
      <w:r w:rsidRPr="00692ACE">
        <w:rPr>
          <w:rStyle w:val="FootnoteReference"/>
          <w:rFonts w:cs="Arial"/>
        </w:rPr>
        <w:footnoteReference w:id="55"/>
      </w:r>
      <w:r w:rsidRPr="00692ACE">
        <w:t xml:space="preserve"> An example would be s 139A of the </w:t>
      </w:r>
      <w:r w:rsidRPr="00692ACE">
        <w:rPr>
          <w:i/>
        </w:rPr>
        <w:t xml:space="preserve">Competition and Consumer Act </w:t>
      </w:r>
      <w:r w:rsidRPr="001A7FB0">
        <w:rPr>
          <w:i/>
        </w:rPr>
        <w:t>2010</w:t>
      </w:r>
      <w:r w:rsidRPr="00692ACE">
        <w:t xml:space="preserve"> which provides that a term in a contract for the supply of recreational services to a consumer by a person is not void under s 64 of the ACL only because the term excludes, restricts or modifies the liability of the person providing such services for failure to comply with a guarantee that applies under consumer guarantee provisions in Pt 3-2 of the ACL.</w:t>
      </w:r>
    </w:p>
    <w:p w14:paraId="1A6722EA" w14:textId="445A542E" w:rsidR="00E706D6" w:rsidRPr="00692ACE" w:rsidRDefault="00E706D6" w:rsidP="00A06B7C">
      <w:pPr>
        <w:pStyle w:val="NumberedParagraph"/>
        <w:ind w:left="567" w:hanging="567"/>
      </w:pPr>
      <w:r>
        <w:t>Under ch</w:t>
      </w:r>
      <w:r w:rsidR="00D37C7C">
        <w:t>anges that will come into effect under</w:t>
      </w:r>
      <w:r>
        <w:t xml:space="preserve"> the Amendment </w:t>
      </w:r>
      <w:r w:rsidR="00D37C7C">
        <w:t>Act</w:t>
      </w:r>
      <w:r>
        <w:t xml:space="preserve">, in addition to the current exemptions to the UCTL, contractual provisions that are taken to be included in a contract by operation of a Commonwealth, state or territory law are also excluded to the extent that the relevant law mandates their inclusion. Additionally, a clause of a contract that results in other contract terms being included in a contract because of the </w:t>
      </w:r>
      <w:r>
        <w:lastRenderedPageBreak/>
        <w:t>operation of another law of the Commonwealth or a state or territory, is exempt from the unfair contract terms provisions insofar as the provisions would prevent the other terms from being included or operating as required by the law.</w:t>
      </w:r>
    </w:p>
    <w:p w14:paraId="01B33D35" w14:textId="77777777" w:rsidR="00337D9E" w:rsidRPr="001858E9" w:rsidRDefault="00DB3D8D" w:rsidP="00A06B7C">
      <w:pPr>
        <w:pStyle w:val="Heading1"/>
        <w:spacing w:before="0" w:after="240" w:line="360" w:lineRule="auto"/>
        <w:jc w:val="both"/>
        <w:rPr>
          <w:rFonts w:ascii="Arial" w:hAnsi="Arial" w:cs="Arial"/>
          <w:b w:val="0"/>
          <w:color w:val="auto"/>
          <w:sz w:val="40"/>
          <w:u w:val="single"/>
          <w:lang w:val="en-AU"/>
        </w:rPr>
      </w:pPr>
      <w:bookmarkStart w:id="20" w:name="_Toc238801659"/>
      <w:bookmarkStart w:id="21" w:name="_Toc410758554"/>
      <w:bookmarkStart w:id="22" w:name="_Toc284521942"/>
      <w:bookmarkStart w:id="23" w:name="_Toc287000867"/>
      <w:r w:rsidRPr="00692ACE">
        <w:rPr>
          <w:rFonts w:ascii="Arial" w:hAnsi="Arial" w:cs="Arial"/>
          <w:b w:val="0"/>
          <w:color w:val="auto"/>
          <w:sz w:val="40"/>
          <w:u w:val="single"/>
          <w:lang w:val="en-AU"/>
        </w:rPr>
        <w:t>The Test for Unfairness</w:t>
      </w:r>
      <w:bookmarkEnd w:id="20"/>
      <w:bookmarkEnd w:id="21"/>
      <w:bookmarkEnd w:id="22"/>
      <w:bookmarkEnd w:id="23"/>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p>
    <w:p w14:paraId="543FD7B2" w14:textId="7C577B42" w:rsidR="00DB3D8D" w:rsidRPr="009F0810" w:rsidRDefault="00DB3D8D" w:rsidP="00A06B7C">
      <w:pPr>
        <w:pStyle w:val="NumberedParagraph"/>
        <w:ind w:left="567" w:hanging="567"/>
      </w:pPr>
      <w:r w:rsidRPr="009F0810">
        <w:t>There are three elements of the threshold test for unfairness. A term is unfair if it would:</w:t>
      </w:r>
    </w:p>
    <w:p w14:paraId="30429F69" w14:textId="77777777" w:rsidR="00DB3D8D" w:rsidRPr="009F0810" w:rsidRDefault="00DB3D8D" w:rsidP="00942CC4">
      <w:pPr>
        <w:pStyle w:val="ListParagraph"/>
        <w:numPr>
          <w:ilvl w:val="1"/>
          <w:numId w:val="10"/>
        </w:numPr>
        <w:spacing w:after="240" w:line="360" w:lineRule="auto"/>
        <w:jc w:val="both"/>
        <w:rPr>
          <w:rFonts w:ascii="Arial" w:hAnsi="Arial" w:cs="Arial"/>
          <w:sz w:val="22"/>
          <w:szCs w:val="22"/>
          <w:lang w:val="en-AU"/>
        </w:rPr>
      </w:pPr>
      <w:r w:rsidRPr="009F0810">
        <w:rPr>
          <w:rFonts w:ascii="Arial" w:hAnsi="Arial" w:cs="Arial"/>
          <w:sz w:val="22"/>
          <w:szCs w:val="22"/>
          <w:lang w:val="en-AU"/>
        </w:rPr>
        <w:t xml:space="preserve">cause a significant imbalance in the rights and obligations of the parties; </w:t>
      </w:r>
      <w:r w:rsidR="00AA6610" w:rsidRPr="009F0810">
        <w:rPr>
          <w:rFonts w:ascii="Arial" w:hAnsi="Arial" w:cs="Arial"/>
          <w:sz w:val="22"/>
          <w:szCs w:val="22"/>
          <w:lang w:val="en-AU"/>
        </w:rPr>
        <w:t>and</w:t>
      </w:r>
    </w:p>
    <w:p w14:paraId="06EA3E2A" w14:textId="77777777" w:rsidR="00DB3D8D" w:rsidRPr="009F0810" w:rsidRDefault="00DB3D8D" w:rsidP="00942CC4">
      <w:pPr>
        <w:pStyle w:val="ListParagraph"/>
        <w:numPr>
          <w:ilvl w:val="1"/>
          <w:numId w:val="10"/>
        </w:numPr>
        <w:spacing w:after="240" w:line="360" w:lineRule="auto"/>
        <w:jc w:val="both"/>
        <w:rPr>
          <w:rFonts w:ascii="Arial" w:hAnsi="Arial" w:cs="Arial"/>
          <w:sz w:val="22"/>
          <w:szCs w:val="22"/>
          <w:lang w:val="en-AU"/>
        </w:rPr>
      </w:pPr>
      <w:r w:rsidRPr="009F0810">
        <w:rPr>
          <w:rFonts w:ascii="Arial" w:hAnsi="Arial" w:cs="Arial"/>
          <w:sz w:val="22"/>
          <w:szCs w:val="22"/>
          <w:lang w:val="en-AU"/>
        </w:rPr>
        <w:t>not be reasonably necessary to protect the legitimate interests of the party advantaged by the term; and</w:t>
      </w:r>
    </w:p>
    <w:p w14:paraId="22BE33CC" w14:textId="585C4BEA" w:rsidR="006127C2" w:rsidRPr="00A06B7C" w:rsidRDefault="00DB3D8D" w:rsidP="00CA1D90">
      <w:pPr>
        <w:pStyle w:val="ListParagraph"/>
        <w:numPr>
          <w:ilvl w:val="1"/>
          <w:numId w:val="10"/>
        </w:numPr>
        <w:spacing w:after="240" w:line="360" w:lineRule="auto"/>
        <w:contextualSpacing w:val="0"/>
        <w:jc w:val="both"/>
        <w:rPr>
          <w:rFonts w:ascii="Arial" w:hAnsi="Arial" w:cs="Arial"/>
          <w:sz w:val="22"/>
          <w:szCs w:val="22"/>
          <w:lang w:val="en-AU"/>
        </w:rPr>
      </w:pPr>
      <w:r w:rsidRPr="009F0810">
        <w:rPr>
          <w:rFonts w:ascii="Arial" w:hAnsi="Arial" w:cs="Arial"/>
          <w:sz w:val="22"/>
          <w:szCs w:val="22"/>
          <w:lang w:val="en-AU"/>
        </w:rPr>
        <w:t>cause detriment (whether financial or otherwise) to a party if it were</w:t>
      </w:r>
      <w:r w:rsidR="009526AD" w:rsidRPr="009F0810">
        <w:rPr>
          <w:rFonts w:ascii="Arial" w:hAnsi="Arial" w:cs="Arial"/>
          <w:sz w:val="22"/>
          <w:szCs w:val="22"/>
          <w:lang w:val="en-AU"/>
        </w:rPr>
        <w:t xml:space="preserve"> </w:t>
      </w:r>
      <w:r w:rsidRPr="009F0810">
        <w:rPr>
          <w:rFonts w:ascii="Arial" w:hAnsi="Arial" w:cs="Arial"/>
          <w:sz w:val="22"/>
          <w:szCs w:val="22"/>
          <w:lang w:val="en-AU"/>
        </w:rPr>
        <w:t>to be applied or relied on</w:t>
      </w:r>
    </w:p>
    <w:p w14:paraId="7EC460F5" w14:textId="71E6B7D8" w:rsidR="006127C2" w:rsidRDefault="006127C2" w:rsidP="006127C2">
      <w:pPr>
        <w:pStyle w:val="NumberedParagraph"/>
        <w:ind w:left="567" w:hanging="567"/>
      </w:pPr>
      <w:r>
        <w:t xml:space="preserve">Unfairness can be </w:t>
      </w:r>
      <w:r w:rsidR="00CA1D90">
        <w:t>caused</w:t>
      </w:r>
      <w:r>
        <w:t xml:space="preserve"> by </w:t>
      </w:r>
      <w:proofErr w:type="gramStart"/>
      <w:r>
        <w:t>a number of</w:t>
      </w:r>
      <w:proofErr w:type="gramEnd"/>
      <w:r>
        <w:t xml:space="preserve"> terms operating in conjunction to create an overall effect.  Unfairness under the UCTL is of a lower moral or ethical standard than unconscionability </w:t>
      </w:r>
      <w:r>
        <w:rPr>
          <w:rStyle w:val="FootnoteReference"/>
        </w:rPr>
        <w:footnoteReference w:id="56"/>
      </w:r>
      <w:r>
        <w:t xml:space="preserve"> </w:t>
      </w:r>
    </w:p>
    <w:p w14:paraId="5515839D" w14:textId="2BC96FEB" w:rsidR="006127C2" w:rsidRPr="00A06B7C" w:rsidRDefault="006127C2" w:rsidP="00A06B7C">
      <w:pPr>
        <w:pStyle w:val="NumberedParagraph"/>
        <w:numPr>
          <w:ilvl w:val="0"/>
          <w:numId w:val="0"/>
        </w:numPr>
        <w:rPr>
          <w:b/>
          <w:bCs/>
        </w:rPr>
      </w:pPr>
      <w:r>
        <w:rPr>
          <w:b/>
          <w:bCs/>
        </w:rPr>
        <w:t>Significant imbalance</w:t>
      </w:r>
    </w:p>
    <w:p w14:paraId="1941AFEF" w14:textId="7363C1FA" w:rsidR="00DB3D8D" w:rsidRPr="00692ACE" w:rsidRDefault="00DB3D8D" w:rsidP="00A06B7C">
      <w:pPr>
        <w:pStyle w:val="NumberedParagraph"/>
        <w:ind w:left="567" w:hanging="567"/>
      </w:pPr>
      <w:r w:rsidRPr="00692ACE">
        <w:t>The element of significant imbalance directs attention to the substantive unfairness of the term in question.</w:t>
      </w:r>
      <w:r w:rsidRPr="00692ACE">
        <w:rPr>
          <w:rStyle w:val="FootnoteReference"/>
          <w:rFonts w:cs="Arial"/>
        </w:rPr>
        <w:footnoteReference w:id="57"/>
      </w:r>
      <w:r w:rsidRPr="00692ACE">
        <w:t xml:space="preserve"> In </w:t>
      </w:r>
      <w:r w:rsidRPr="00692ACE">
        <w:rPr>
          <w:i/>
        </w:rPr>
        <w:t xml:space="preserve">Director General of </w:t>
      </w:r>
      <w:proofErr w:type="gramStart"/>
      <w:r w:rsidRPr="00692ACE">
        <w:rPr>
          <w:i/>
        </w:rPr>
        <w:t>Fair Trading</w:t>
      </w:r>
      <w:proofErr w:type="gramEnd"/>
      <w:r w:rsidRPr="00692ACE">
        <w:rPr>
          <w:i/>
        </w:rPr>
        <w:t xml:space="preserve"> v First National Bank</w:t>
      </w:r>
      <w:r w:rsidRPr="00692ACE">
        <w:rPr>
          <w:iCs/>
        </w:rPr>
        <w:t>,</w:t>
      </w:r>
      <w:r w:rsidRPr="00692ACE">
        <w:rPr>
          <w:rStyle w:val="FootnoteReference"/>
          <w:rFonts w:cs="Arial"/>
          <w:iCs/>
        </w:rPr>
        <w:footnoteReference w:id="58"/>
      </w:r>
      <w:r w:rsidRPr="00692ACE">
        <w:rPr>
          <w:iCs/>
        </w:rPr>
        <w:t xml:space="preserve"> Lord Bingham stated</w:t>
      </w:r>
      <w:r w:rsidRPr="00692ACE">
        <w:rPr>
          <w:i/>
        </w:rPr>
        <w:t xml:space="preserve"> </w:t>
      </w:r>
      <w:r w:rsidRPr="00692ACE">
        <w:t>that:</w:t>
      </w:r>
    </w:p>
    <w:p w14:paraId="08072A56" w14:textId="77777777" w:rsidR="00DB3D8D" w:rsidRPr="00692ACE" w:rsidRDefault="00DB3D8D" w:rsidP="00A06B7C">
      <w:pPr>
        <w:spacing w:after="240" w:line="276" w:lineRule="auto"/>
        <w:ind w:left="993"/>
        <w:jc w:val="both"/>
        <w:rPr>
          <w:rFonts w:ascii="Arial" w:hAnsi="Arial" w:cs="Arial"/>
          <w:sz w:val="22"/>
          <w:lang w:val="en-AU"/>
        </w:rPr>
      </w:pPr>
      <w:r w:rsidRPr="00692ACE">
        <w:rPr>
          <w:rFonts w:ascii="Arial" w:hAnsi="Arial" w:cs="Arial"/>
          <w:sz w:val="22"/>
          <w:lang w:val="en-AU"/>
        </w:rPr>
        <w:t xml:space="preserve">The requirement of significant imbalance is met if a term is so weighted in favour of the supplier as to tilt the </w:t>
      </w:r>
      <w:r w:rsidR="009526AD" w:rsidRPr="00692ACE">
        <w:rPr>
          <w:rFonts w:ascii="Arial" w:hAnsi="Arial" w:cs="Arial"/>
          <w:sz w:val="22"/>
          <w:lang w:val="en-AU"/>
        </w:rPr>
        <w:t>part</w:t>
      </w:r>
      <w:r w:rsidR="009526AD">
        <w:rPr>
          <w:rFonts w:ascii="Arial" w:hAnsi="Arial" w:cs="Arial"/>
          <w:sz w:val="22"/>
          <w:lang w:val="en-AU"/>
        </w:rPr>
        <w:t>y’s</w:t>
      </w:r>
      <w:r w:rsidR="009526AD" w:rsidRPr="00692ACE">
        <w:rPr>
          <w:rFonts w:ascii="Arial" w:hAnsi="Arial" w:cs="Arial"/>
          <w:sz w:val="22"/>
          <w:lang w:val="en-AU"/>
        </w:rPr>
        <w:t xml:space="preserve"> </w:t>
      </w:r>
      <w:r w:rsidRPr="00692ACE">
        <w:rPr>
          <w:rFonts w:ascii="Arial" w:hAnsi="Arial" w:cs="Arial"/>
          <w:sz w:val="22"/>
          <w:lang w:val="en-AU"/>
        </w:rPr>
        <w:t>rights and obligations under the contract significantly in his favour. This may be by the granting to the supplier a beneficial option</w:t>
      </w:r>
      <w:r w:rsidR="00AA6610">
        <w:rPr>
          <w:rFonts w:ascii="Arial" w:hAnsi="Arial" w:cs="Arial"/>
          <w:sz w:val="22"/>
          <w:lang w:val="en-AU"/>
        </w:rPr>
        <w:t>,</w:t>
      </w:r>
      <w:r w:rsidRPr="00692ACE">
        <w:rPr>
          <w:rFonts w:ascii="Arial" w:hAnsi="Arial" w:cs="Arial"/>
          <w:sz w:val="22"/>
          <w:lang w:val="en-AU"/>
        </w:rPr>
        <w:t xml:space="preserve"> discretion or power, or by the imposing on the consumer a disadvantageous burden</w:t>
      </w:r>
      <w:r w:rsidR="009526AD">
        <w:rPr>
          <w:rFonts w:ascii="Arial" w:hAnsi="Arial" w:cs="Arial"/>
          <w:sz w:val="22"/>
          <w:lang w:val="en-AU"/>
        </w:rPr>
        <w:t xml:space="preserve">, </w:t>
      </w:r>
      <w:r w:rsidRPr="00692ACE">
        <w:rPr>
          <w:rFonts w:ascii="Arial" w:hAnsi="Arial" w:cs="Arial"/>
          <w:sz w:val="22"/>
          <w:lang w:val="en-AU"/>
        </w:rPr>
        <w:t>risk or duty.</w:t>
      </w:r>
    </w:p>
    <w:p w14:paraId="15EFD5CC" w14:textId="77777777" w:rsidR="00DB3D8D" w:rsidRPr="00692ACE" w:rsidRDefault="00DB3D8D" w:rsidP="00A06B7C">
      <w:pPr>
        <w:pStyle w:val="NumberedParagraph"/>
        <w:ind w:left="567" w:hanging="567"/>
      </w:pPr>
      <w:r w:rsidRPr="00692ACE">
        <w:t>This explanation of significant imbalanc</w:t>
      </w:r>
      <w:r w:rsidR="00812BB9">
        <w:t>e</w:t>
      </w:r>
      <w:r w:rsidRPr="00692ACE">
        <w:t xml:space="preserve"> was followed in the Federal Court by Edelman J</w:t>
      </w:r>
      <w:r w:rsidR="009D2A9E">
        <w:t xml:space="preserve"> </w:t>
      </w:r>
      <w:r w:rsidR="00813948">
        <w:t>(as His Honour then was)</w:t>
      </w:r>
      <w:r w:rsidRPr="00692ACE">
        <w:t xml:space="preserve">, in </w:t>
      </w:r>
      <w:r w:rsidRPr="00692ACE">
        <w:rPr>
          <w:i/>
        </w:rPr>
        <w:t xml:space="preserve">Australian Competition and Consumer Commission v </w:t>
      </w:r>
      <w:proofErr w:type="spellStart"/>
      <w:r w:rsidRPr="00692ACE">
        <w:rPr>
          <w:i/>
        </w:rPr>
        <w:t>Chrisco</w:t>
      </w:r>
      <w:proofErr w:type="spellEnd"/>
      <w:r w:rsidRPr="00692ACE">
        <w:rPr>
          <w:i/>
        </w:rPr>
        <w:t xml:space="preserve"> Hampers Australia Ltd</w:t>
      </w:r>
      <w:r w:rsidRPr="00692ACE">
        <w:t>.</w:t>
      </w:r>
      <w:r w:rsidRPr="00692ACE">
        <w:rPr>
          <w:rStyle w:val="FootnoteReference"/>
          <w:rFonts w:cs="Arial"/>
        </w:rPr>
        <w:footnoteReference w:id="59"/>
      </w:r>
    </w:p>
    <w:p w14:paraId="2CE9C190" w14:textId="77777777" w:rsidR="00DB3D8D" w:rsidRPr="00D11E4F" w:rsidRDefault="00DB3D8D" w:rsidP="00A06B7C">
      <w:pPr>
        <w:pStyle w:val="NumberedParagraph"/>
        <w:ind w:left="567" w:hanging="567"/>
      </w:pPr>
      <w:r w:rsidRPr="00692ACE">
        <w:t xml:space="preserve">Terms similar in effect to those in the grey list of terms under the UCTL are examples of terms that, on the face of it, might cause a significant imbalance in the rights and obligations of the parties. In </w:t>
      </w:r>
      <w:r w:rsidRPr="00692ACE">
        <w:rPr>
          <w:i/>
        </w:rPr>
        <w:t>Jetstar Airways Pty Ltd v Free</w:t>
      </w:r>
      <w:r w:rsidRPr="00692ACE">
        <w:rPr>
          <w:rStyle w:val="FootnoteReference"/>
          <w:rFonts w:cs="Arial"/>
          <w:iCs/>
        </w:rPr>
        <w:footnoteReference w:id="60"/>
      </w:r>
      <w:r w:rsidRPr="00692ACE">
        <w:t xml:space="preserve"> </w:t>
      </w:r>
      <w:proofErr w:type="spellStart"/>
      <w:r w:rsidRPr="00692ACE">
        <w:t>Cavanough</w:t>
      </w:r>
      <w:proofErr w:type="spellEnd"/>
      <w:r w:rsidRPr="00692ACE">
        <w:t xml:space="preserve"> J, referring to </w:t>
      </w:r>
      <w:r w:rsidRPr="00D11E4F">
        <w:lastRenderedPageBreak/>
        <w:t>the grey list of terms in the former Pt 2B of the</w:t>
      </w:r>
      <w:r w:rsidR="00D11E4F" w:rsidRPr="00D11E4F">
        <w:rPr>
          <w:i/>
        </w:rPr>
        <w:t xml:space="preserve"> Fair Trading Act </w:t>
      </w:r>
      <w:r w:rsidR="00D11E4F" w:rsidRPr="00D11E4F">
        <w:t>1999 (Vic) (</w:t>
      </w:r>
      <w:r w:rsidR="00D11E4F" w:rsidRPr="00D11E4F">
        <w:rPr>
          <w:b/>
        </w:rPr>
        <w:t>Fair Trading Act</w:t>
      </w:r>
      <w:r w:rsidR="00D11E4F" w:rsidRPr="00D11E4F">
        <w:t>)</w:t>
      </w:r>
      <w:r w:rsidRPr="00D11E4F">
        <w:t>, described the nature of these terms:</w:t>
      </w:r>
    </w:p>
    <w:p w14:paraId="1EB36B9C" w14:textId="77777777" w:rsidR="00DB3D8D" w:rsidRPr="00692ACE" w:rsidRDefault="00DB3D8D" w:rsidP="00A06B7C">
      <w:pPr>
        <w:spacing w:after="240" w:line="276" w:lineRule="auto"/>
        <w:ind w:left="993"/>
        <w:jc w:val="both"/>
        <w:rPr>
          <w:rFonts w:ascii="Arial" w:hAnsi="Arial" w:cs="Arial"/>
          <w:sz w:val="22"/>
          <w:lang w:val="en-AU"/>
        </w:rPr>
      </w:pPr>
      <w:r w:rsidRPr="00692ACE">
        <w:rPr>
          <w:rFonts w:ascii="Arial" w:hAnsi="Arial" w:cs="Arial"/>
          <w:sz w:val="22"/>
          <w:lang w:val="en-AU"/>
        </w:rPr>
        <w:t>Each paragraph supplies an example of a term which may not only be described as one-sided but which also tends to derogate from the enforceability or value of a promise made by the supplier (or of a right conferred on the consumer) by another express or implied term of the contract.</w:t>
      </w:r>
    </w:p>
    <w:p w14:paraId="40D7FC9A" w14:textId="02EC557C" w:rsidR="00913CF7" w:rsidRDefault="00913CF7" w:rsidP="00A06B7C">
      <w:pPr>
        <w:pStyle w:val="NumberedParagraph"/>
        <w:ind w:left="567" w:hanging="567"/>
      </w:pPr>
      <w:r>
        <w:t>Significant in this context means “significant in magnitude” or “sufficiently large to be important, “being a meaning not too distant from substantial”.</w:t>
      </w:r>
      <w:r>
        <w:rPr>
          <w:rStyle w:val="FootnoteReference"/>
        </w:rPr>
        <w:footnoteReference w:id="61"/>
      </w:r>
      <w:r>
        <w:t xml:space="preserve"> </w:t>
      </w:r>
    </w:p>
    <w:p w14:paraId="6433FF49" w14:textId="233B9BE2" w:rsidR="00DB3D8D" w:rsidRPr="00692ACE" w:rsidRDefault="00DB3D8D" w:rsidP="00A06B7C">
      <w:pPr>
        <w:pStyle w:val="NumberedParagraph"/>
        <w:ind w:left="567" w:hanging="567"/>
      </w:pPr>
      <w:r w:rsidRPr="00692ACE">
        <w:t xml:space="preserve">However, even a term that, on the face of it, appears neutral as it applies equally to both parties might cause a significant imbalance when one considers its practical effect in the context of the </w:t>
      </w:r>
      <w:proofErr w:type="gramStart"/>
      <w:r w:rsidRPr="00692ACE">
        <w:t>transaction as a whole</w:t>
      </w:r>
      <w:proofErr w:type="gramEnd"/>
      <w:r w:rsidRPr="00692ACE">
        <w:t xml:space="preserve">. Thus, it was held in the Scottish case </w:t>
      </w:r>
      <w:r w:rsidRPr="00692ACE">
        <w:rPr>
          <w:i/>
        </w:rPr>
        <w:t>Office of Fair Trading v MB Designs</w:t>
      </w:r>
      <w:r w:rsidRPr="00692ACE">
        <w:rPr>
          <w:rStyle w:val="FootnoteReference"/>
          <w:rFonts w:cs="Arial"/>
        </w:rPr>
        <w:footnoteReference w:id="62"/>
      </w:r>
      <w:r w:rsidRPr="00692ACE">
        <w:rPr>
          <w:i/>
        </w:rPr>
        <w:t xml:space="preserve"> </w:t>
      </w:r>
      <w:r w:rsidRPr="00692ACE">
        <w:t>that an entire agreement clause that applied equally to both parties was an unfair term. Lord Drummond Young stated that:</w:t>
      </w:r>
    </w:p>
    <w:p w14:paraId="39D57587" w14:textId="77777777" w:rsidR="00DB3D8D" w:rsidRPr="00692ACE" w:rsidRDefault="00DB3D8D" w:rsidP="00A06B7C">
      <w:pPr>
        <w:spacing w:after="240" w:line="276" w:lineRule="auto"/>
        <w:ind w:left="993"/>
        <w:jc w:val="both"/>
        <w:rPr>
          <w:rFonts w:ascii="Arial" w:hAnsi="Arial" w:cs="Arial"/>
          <w:sz w:val="22"/>
          <w:lang w:val="en-AU"/>
        </w:rPr>
      </w:pPr>
      <w:r w:rsidRPr="00692ACE">
        <w:rPr>
          <w:rFonts w:ascii="Arial" w:hAnsi="Arial" w:cs="Arial"/>
          <w:sz w:val="22"/>
          <w:lang w:val="en-AU"/>
        </w:rPr>
        <w:t xml:space="preserve">It seems to me obvious that the main practical effect of terms of this nature will be to prevent the customer from relying on representations made by the first </w:t>
      </w:r>
      <w:r w:rsidRPr="00692ACE">
        <w:rPr>
          <w:rFonts w:ascii="Arial" w:hAnsi="Arial" w:cs="Arial"/>
          <w:sz w:val="22"/>
          <w:szCs w:val="22"/>
          <w:lang w:val="en-AU"/>
        </w:rPr>
        <w:t>respondent’s</w:t>
      </w:r>
      <w:r w:rsidRPr="00692ACE">
        <w:rPr>
          <w:rFonts w:ascii="Arial" w:hAnsi="Arial" w:cs="Arial"/>
          <w:sz w:val="22"/>
          <w:lang w:val="en-AU"/>
        </w:rPr>
        <w:t xml:space="preserve"> salesman. Such cases are likely in my opinion to represent the vast majority of cases where the clauses in question are relevant. In those cases, it is clear that it is the customer who is likely to be prejudiced, not the first respondent. I accordingly reject the submission for the respondents that clause 7 and clause 6 should be regarded as essentially neutral terms. That is not how they operate in practice, and I am obliged by regulation 6(1) to take account of all the circumstances attending the conclusion of contracts between customers and the first respondent.</w:t>
      </w:r>
      <w:r w:rsidRPr="00692ACE">
        <w:rPr>
          <w:rStyle w:val="FootnoteReference"/>
          <w:rFonts w:ascii="Arial" w:hAnsi="Arial" w:cs="Arial"/>
          <w:sz w:val="22"/>
          <w:lang w:val="en-AU"/>
        </w:rPr>
        <w:footnoteReference w:id="63"/>
      </w:r>
    </w:p>
    <w:p w14:paraId="4D0A85FF" w14:textId="77777777" w:rsidR="00DB3D8D" w:rsidRPr="00692ACE" w:rsidRDefault="00DB3D8D" w:rsidP="00A06B7C">
      <w:pPr>
        <w:pStyle w:val="NumberedParagraph"/>
        <w:ind w:left="567" w:hanging="567"/>
      </w:pPr>
      <w:r w:rsidRPr="00692ACE">
        <w:t xml:space="preserve">It is clear that, in considering whether a term causes a significant imbalance, one must consider the contract as a whole. In </w:t>
      </w:r>
      <w:r w:rsidRPr="00692ACE">
        <w:rPr>
          <w:i/>
        </w:rPr>
        <w:t>Jetstar Airways Pty Ltd v Free</w:t>
      </w:r>
      <w:r w:rsidRPr="00692ACE">
        <w:rPr>
          <w:rStyle w:val="FootnoteReference"/>
          <w:rFonts w:cs="Arial"/>
        </w:rPr>
        <w:footnoteReference w:id="64"/>
      </w:r>
      <w:r w:rsidRPr="00692ACE">
        <w:t xml:space="preserve"> the Victorian Supreme Court had to decide whether VCAT erred in law in holding unfair a term that required the purchaser of an airline ticket who wished to substitute the name of a new passenger to pay the difference between the fare originally purchased and the fare available on the date of the variation. </w:t>
      </w:r>
      <w:proofErr w:type="spellStart"/>
      <w:r w:rsidRPr="00692ACE">
        <w:t>Cavanough</w:t>
      </w:r>
      <w:proofErr w:type="spellEnd"/>
      <w:r w:rsidRPr="00692ACE">
        <w:t xml:space="preserve"> J held that VCAT failed to consider the contract as a whole. In particular, the Tribunal disregarded the fact that the ticket was bought at a special introductory price. </w:t>
      </w:r>
      <w:proofErr w:type="spellStart"/>
      <w:r w:rsidRPr="00692ACE">
        <w:t>Cavanough</w:t>
      </w:r>
      <w:proofErr w:type="spellEnd"/>
      <w:r w:rsidRPr="00692ACE">
        <w:t xml:space="preserve"> J held that the low price paid for the ticket counterbalanced what might otherwise appear to be a harsh or strict term.</w:t>
      </w:r>
      <w:r w:rsidRPr="00692ACE">
        <w:rPr>
          <w:rStyle w:val="FootnoteReference"/>
          <w:rFonts w:cs="Arial"/>
        </w:rPr>
        <w:footnoteReference w:id="65"/>
      </w:r>
    </w:p>
    <w:p w14:paraId="615FA54B" w14:textId="77777777" w:rsidR="00E71A91" w:rsidRDefault="00DB3D8D" w:rsidP="00A06B7C">
      <w:pPr>
        <w:pStyle w:val="NumberedParagraph"/>
        <w:ind w:left="567" w:hanging="567"/>
      </w:pPr>
      <w:r w:rsidRPr="00692ACE">
        <w:lastRenderedPageBreak/>
        <w:t>In considering the contract as whole not each and every term would be equally relevant to the question of unfairness. The main requirement is to consider terms that might reasonably be regarded as counterbalancing the term in question.</w:t>
      </w:r>
      <w:r w:rsidRPr="00692ACE">
        <w:rPr>
          <w:rStyle w:val="FootnoteReference"/>
          <w:rFonts w:cs="Arial"/>
        </w:rPr>
        <w:footnoteReference w:id="66"/>
      </w:r>
      <w:r w:rsidRPr="00692ACE">
        <w:t xml:space="preserve"> For a price reduction to counterbalance the effect of an otherwise unfair term, it must be shown that the low price </w:t>
      </w:r>
      <w:r w:rsidR="0009100B">
        <w:t>can be related</w:t>
      </w:r>
      <w:r w:rsidRPr="00692ACE">
        <w:t xml:space="preserve"> to the term and not to another feature of the contract. The reduction in price must also be proportionate to a term that gives a significant advantage to the supplier or places an onerous burden on the consumer. </w:t>
      </w:r>
    </w:p>
    <w:p w14:paraId="081B852A" w14:textId="2711BACF" w:rsidR="00E71A91" w:rsidRPr="00692ACE" w:rsidRDefault="00E71A91" w:rsidP="00A06B7C">
      <w:pPr>
        <w:pStyle w:val="NumberedParagraph"/>
        <w:ind w:left="567" w:hanging="567"/>
      </w:pPr>
      <w:r>
        <w:t xml:space="preserve">In </w:t>
      </w:r>
      <w:r w:rsidRPr="00E71A91">
        <w:rPr>
          <w:i/>
          <w:iCs/>
        </w:rPr>
        <w:t>ACCC v JJ Richards &amp; Sons Pty Ltd</w:t>
      </w:r>
      <w:r>
        <w:rPr>
          <w:rStyle w:val="FootnoteReference"/>
          <w:i/>
          <w:iCs/>
        </w:rPr>
        <w:footnoteReference w:id="67"/>
      </w:r>
      <w:r w:rsidRPr="00E71A91">
        <w:rPr>
          <w:i/>
          <w:iCs/>
        </w:rPr>
        <w:t xml:space="preserve"> </w:t>
      </w:r>
      <w:proofErr w:type="spellStart"/>
      <w:r>
        <w:t>Moshinsky</w:t>
      </w:r>
      <w:proofErr w:type="spellEnd"/>
      <w:r>
        <w:t xml:space="preserve"> J observed that a term is less likely to give rise to a significant imbalance if there is a meaningful relationship between the term and the protection of a party, and that relationship is reasonably foreseeable at the time of entering into the contract.  </w:t>
      </w:r>
    </w:p>
    <w:p w14:paraId="0F1A6480" w14:textId="77777777" w:rsidR="00DB3D8D" w:rsidRPr="00692ACE" w:rsidRDefault="00DB3D8D" w:rsidP="00A06B7C">
      <w:pPr>
        <w:spacing w:after="240" w:line="360" w:lineRule="auto"/>
        <w:jc w:val="both"/>
        <w:rPr>
          <w:rFonts w:ascii="Arial" w:hAnsi="Arial" w:cs="Arial"/>
          <w:b/>
          <w:sz w:val="22"/>
          <w:lang w:val="en-AU"/>
        </w:rPr>
      </w:pPr>
      <w:r w:rsidRPr="00692ACE">
        <w:rPr>
          <w:rFonts w:ascii="Arial" w:hAnsi="Arial" w:cs="Arial"/>
          <w:b/>
          <w:sz w:val="22"/>
          <w:lang w:val="en-AU"/>
        </w:rPr>
        <w:t>Legitimate interest</w:t>
      </w:r>
    </w:p>
    <w:p w14:paraId="028E4E08" w14:textId="77777777" w:rsidR="00DB3D8D" w:rsidRPr="00692ACE" w:rsidRDefault="00DB3D8D" w:rsidP="00A06B7C">
      <w:pPr>
        <w:pStyle w:val="NumberedParagraph"/>
        <w:ind w:left="567" w:hanging="567"/>
      </w:pPr>
      <w:r w:rsidRPr="00692ACE">
        <w:t>The second element of the test of unfairness directs attention to the position of the supplier. It qualifies the fact that a significant imbalance might cause a term to be unfair. The UCTL provides that a term in a standard form consumer contract is presumed not to be reasonably necessary to protect the legitimate interest of the party advantaged by the term unless that party proves otherwise.</w:t>
      </w:r>
      <w:r w:rsidRPr="00692ACE">
        <w:rPr>
          <w:rStyle w:val="FootnoteReference"/>
          <w:rFonts w:cs="Arial"/>
        </w:rPr>
        <w:footnoteReference w:id="68"/>
      </w:r>
    </w:p>
    <w:p w14:paraId="28543FFB" w14:textId="77777777" w:rsidR="00DB3D8D" w:rsidRPr="00692ACE" w:rsidRDefault="00DB3D8D" w:rsidP="00A06B7C">
      <w:pPr>
        <w:pStyle w:val="NumberedParagraph"/>
        <w:ind w:left="567" w:hanging="567"/>
      </w:pPr>
      <w:r w:rsidRPr="00692ACE">
        <w:t>There are two stages to the relevant inquiry. The first stage is to ask whether the term protects a legitimate interest of the supplier. This requires evidence from the supplier about such matters as its cost and revenue structures, industry practice and the need for mitigation of business risks. Such evidence is intended to show that there are legitimate business reasons for insisting on the term.</w:t>
      </w:r>
      <w:r w:rsidRPr="00692ACE">
        <w:rPr>
          <w:rStyle w:val="FootnoteReference"/>
          <w:rFonts w:cs="Arial"/>
        </w:rPr>
        <w:footnoteReference w:id="69"/>
      </w:r>
    </w:p>
    <w:p w14:paraId="4A27DB20" w14:textId="77777777" w:rsidR="004C7E03" w:rsidRDefault="00DB3D8D" w:rsidP="00A06B7C">
      <w:pPr>
        <w:pStyle w:val="NumberedParagraph"/>
        <w:ind w:left="567" w:hanging="567"/>
      </w:pPr>
      <w:r w:rsidRPr="00692ACE">
        <w:t xml:space="preserve">The second stage is to consider whether the term is reasonably necessary to protect the supplier’s legitimate interest. A supplier must show that the term represents a proportionate response to the interest it wants to protect. If there is a less burdensome way to protect the legitimate interest of the supplier, a court may decide that the term is unfair. </w:t>
      </w:r>
    </w:p>
    <w:p w14:paraId="3908C299" w14:textId="77777777" w:rsidR="000F15A2" w:rsidRDefault="004C7E03" w:rsidP="00A06B7C">
      <w:pPr>
        <w:pStyle w:val="NumberedParagraph"/>
        <w:ind w:left="567" w:hanging="567"/>
      </w:pPr>
      <w:r>
        <w:t xml:space="preserve">It was held by Banks-Smith J in </w:t>
      </w:r>
      <w:r w:rsidRPr="00A06B7C">
        <w:rPr>
          <w:i/>
          <w:iCs/>
        </w:rPr>
        <w:t>ASIC v Ashley &amp; Martin Pty Ltd</w:t>
      </w:r>
      <w:r>
        <w:rPr>
          <w:rStyle w:val="FootnoteReference"/>
        </w:rPr>
        <w:footnoteReference w:id="70"/>
      </w:r>
      <w:r>
        <w:t xml:space="preserve"> </w:t>
      </w:r>
      <w:r w:rsidR="000F15A2">
        <w:t xml:space="preserve"> </w:t>
      </w:r>
      <w:r>
        <w:t xml:space="preserve">that it is not appropriate to attempt to define legitimate interest.  It will depend on the nature of the </w:t>
      </w:r>
      <w:r w:rsidR="000F15A2">
        <w:t>business</w:t>
      </w:r>
      <w:r>
        <w:t xml:space="preserve"> of </w:t>
      </w:r>
      <w:r>
        <w:lastRenderedPageBreak/>
        <w:t xml:space="preserve">the supplier and the context of the </w:t>
      </w:r>
      <w:proofErr w:type="gramStart"/>
      <w:r>
        <w:t>contract as a whole</w:t>
      </w:r>
      <w:proofErr w:type="gramEnd"/>
      <w:r>
        <w:t xml:space="preserve">.  A party’s legitimate </w:t>
      </w:r>
      <w:r w:rsidR="000F15A2">
        <w:t>interest</w:t>
      </w:r>
      <w:r>
        <w:t xml:space="preserve"> </w:t>
      </w:r>
      <w:r w:rsidR="000F15A2">
        <w:t>may not be purely monetary.  A party may have interest in contractual performance which are intangible and unquantifiable.</w:t>
      </w:r>
    </w:p>
    <w:p w14:paraId="7368085E" w14:textId="69D023DB" w:rsidR="00924372" w:rsidRPr="00A06B7C" w:rsidRDefault="008C5872" w:rsidP="00A06B7C">
      <w:pPr>
        <w:pStyle w:val="NumberedParagraph"/>
        <w:ind w:left="567" w:hanging="567"/>
      </w:pPr>
      <w:r>
        <w:t xml:space="preserve">The question of legitimate interest was discussed, in the context of unconscionable conduct, by North J in </w:t>
      </w:r>
      <w:r w:rsidRPr="00A06B7C">
        <w:rPr>
          <w:i/>
          <w:iCs/>
        </w:rPr>
        <w:t xml:space="preserve">ACCC v </w:t>
      </w:r>
      <w:r w:rsidR="004E7886" w:rsidRPr="00924372">
        <w:rPr>
          <w:i/>
          <w:iCs/>
        </w:rPr>
        <w:t>ACN</w:t>
      </w:r>
      <w:r w:rsidRPr="00A06B7C">
        <w:rPr>
          <w:i/>
          <w:iCs/>
        </w:rPr>
        <w:t xml:space="preserve"> 117 372 915 Pty Ltd (in </w:t>
      </w:r>
      <w:proofErr w:type="spellStart"/>
      <w:proofErr w:type="gramStart"/>
      <w:r w:rsidRPr="00A06B7C">
        <w:rPr>
          <w:i/>
          <w:iCs/>
        </w:rPr>
        <w:t>liq</w:t>
      </w:r>
      <w:proofErr w:type="spellEnd"/>
      <w:r w:rsidRPr="00A06B7C">
        <w:rPr>
          <w:i/>
          <w:iCs/>
        </w:rPr>
        <w:t>)(</w:t>
      </w:r>
      <w:proofErr w:type="gramEnd"/>
      <w:r w:rsidRPr="00A06B7C">
        <w:rPr>
          <w:i/>
          <w:iCs/>
        </w:rPr>
        <w:t>formerly Advanced Medical Institute Pty Ltd</w:t>
      </w:r>
      <w:r w:rsidR="00924372" w:rsidRPr="00924372">
        <w:rPr>
          <w:i/>
          <w:iCs/>
        </w:rPr>
        <w:t>)</w:t>
      </w:r>
      <w:r w:rsidR="004E7886" w:rsidRPr="00924372">
        <w:rPr>
          <w:i/>
          <w:iCs/>
        </w:rPr>
        <w:t>.</w:t>
      </w:r>
      <w:r w:rsidR="004E7886" w:rsidRPr="00A06B7C">
        <w:rPr>
          <w:rStyle w:val="FootnoteReference"/>
        </w:rPr>
        <w:footnoteReference w:id="71"/>
      </w:r>
      <w:r>
        <w:t xml:space="preserve"> </w:t>
      </w:r>
      <w:r w:rsidR="004E7886">
        <w:t xml:space="preserve">The respondent sold expensive erectile </w:t>
      </w:r>
      <w:r w:rsidR="00924372">
        <w:t>dysfunction</w:t>
      </w:r>
      <w:r w:rsidR="004E7886">
        <w:t xml:space="preserve"> treatment programs using high-pressure sale</w:t>
      </w:r>
      <w:r w:rsidR="00924372">
        <w:t xml:space="preserve"> tactics</w:t>
      </w:r>
      <w:r w:rsidR="004E7886">
        <w:t xml:space="preserve">.  There was no proper </w:t>
      </w:r>
      <w:r w:rsidR="00924372">
        <w:t>scientific</w:t>
      </w:r>
      <w:r w:rsidR="004E7886">
        <w:t xml:space="preserve"> evidence to support</w:t>
      </w:r>
      <w:r w:rsidR="00924372">
        <w:t xml:space="preserve"> the</w:t>
      </w:r>
      <w:r w:rsidR="004E7886">
        <w:t xml:space="preserve"> </w:t>
      </w:r>
      <w:r w:rsidR="00924372">
        <w:t>long-term</w:t>
      </w:r>
      <w:r w:rsidR="004E7886">
        <w:t xml:space="preserve"> treatment programs.  As a result</w:t>
      </w:r>
      <w:r w:rsidR="00924372">
        <w:t>,</w:t>
      </w:r>
      <w:r w:rsidR="004E7886">
        <w:t xml:space="preserve"> patients were committed to a period of treatment which had no proper medical justification, but which </w:t>
      </w:r>
      <w:r w:rsidR="00924372">
        <w:t>came at</w:t>
      </w:r>
      <w:r w:rsidR="004E7886">
        <w:t xml:space="preserve"> significant cost to th</w:t>
      </w:r>
      <w:r w:rsidR="00924372">
        <w:t>em</w:t>
      </w:r>
      <w:r w:rsidR="004E7886">
        <w:t xml:space="preserve">.  </w:t>
      </w:r>
      <w:r w:rsidR="00924372" w:rsidRPr="00924372">
        <w:rPr>
          <w:rFonts w:cs="Arial"/>
          <w:color w:val="212121"/>
        </w:rPr>
        <w:t>The reason the respondent required doctors to recommend long-term treatment programs was that such contracts produced more revenue than short-term programs. North J held (upheld on appeal):</w:t>
      </w:r>
    </w:p>
    <w:p w14:paraId="7915EAF1" w14:textId="12AF21E7" w:rsidR="00924372" w:rsidRPr="00F7446A" w:rsidRDefault="00924372" w:rsidP="00A06B7C">
      <w:pPr>
        <w:shd w:val="clear" w:color="auto" w:fill="FFFFFF"/>
        <w:spacing w:after="240" w:line="276" w:lineRule="auto"/>
        <w:ind w:left="900"/>
        <w:jc w:val="both"/>
        <w:textAlignment w:val="baseline"/>
        <w:rPr>
          <w:rFonts w:ascii="Arial" w:hAnsi="Arial" w:cs="Arial"/>
          <w:color w:val="212121"/>
          <w:sz w:val="22"/>
          <w:szCs w:val="22"/>
        </w:rPr>
      </w:pPr>
      <w:r w:rsidRPr="00F7446A">
        <w:rPr>
          <w:rFonts w:ascii="Arial" w:hAnsi="Arial" w:cs="Arial"/>
          <w:color w:val="212121"/>
          <w:sz w:val="22"/>
          <w:szCs w:val="22"/>
          <w:bdr w:val="none" w:sz="0" w:space="0" w:color="auto" w:frame="1"/>
        </w:rPr>
        <w:t>For AMI and NRM to require doctors to recommend long-term treatment programs without a proper medical reason for so doing was to exploit the patients for the commercial benefit of AMI and NRM. That conduct was unconscionable because AMI and NRM had no legitimate interest in having patients agree to long-term contracts. They were not providing a treatment for a period which had a verified medical reason. That was not legitimate business. The inclusion in such circumstances of terms which are not reasonably necessary to protect the legitimate interests of a supplier is akin to the possible marker of unconscionable conduct</w:t>
      </w:r>
      <w:r>
        <w:rPr>
          <w:rFonts w:ascii="Arial" w:hAnsi="Arial" w:cs="Arial"/>
          <w:color w:val="212121"/>
          <w:sz w:val="22"/>
          <w:szCs w:val="22"/>
          <w:bdr w:val="none" w:sz="0" w:space="0" w:color="auto" w:frame="1"/>
        </w:rPr>
        <w:t>…</w:t>
      </w:r>
    </w:p>
    <w:p w14:paraId="54DE4193" w14:textId="77777777" w:rsidR="00DB3D8D" w:rsidRPr="00611EDB" w:rsidRDefault="00DB3D8D" w:rsidP="00942CC4">
      <w:pPr>
        <w:pStyle w:val="NumberedParagraph"/>
        <w:numPr>
          <w:ilvl w:val="0"/>
          <w:numId w:val="0"/>
        </w:numPr>
        <w:rPr>
          <w:b/>
          <w:bCs/>
        </w:rPr>
      </w:pPr>
      <w:r w:rsidRPr="00611EDB">
        <w:rPr>
          <w:b/>
          <w:bCs/>
        </w:rPr>
        <w:t>Detriment</w:t>
      </w:r>
    </w:p>
    <w:p w14:paraId="6D867B8B" w14:textId="281183B4" w:rsidR="00DB3D8D" w:rsidRPr="00692ACE" w:rsidRDefault="00DB3D8D" w:rsidP="00A06B7C">
      <w:pPr>
        <w:pStyle w:val="NumberedParagraph"/>
        <w:ind w:left="567" w:hanging="567"/>
      </w:pPr>
      <w:r w:rsidRPr="00692ACE">
        <w:t xml:space="preserve">The third element of the test of unfairness is that the term would cause detriment to a party if it were </w:t>
      </w:r>
      <w:r w:rsidR="004A0295">
        <w:t>t</w:t>
      </w:r>
      <w:r w:rsidRPr="00692ACE">
        <w:t xml:space="preserve">o be applied or relied on. The detriment may be financial or otherwise. </w:t>
      </w:r>
      <w:r w:rsidR="00913CF7">
        <w:t xml:space="preserve"> </w:t>
      </w:r>
      <w:r w:rsidR="00586142">
        <w:t>The requirement that detriment ‘would’ exist requires that the detriment be m</w:t>
      </w:r>
      <w:r w:rsidR="00913CF7">
        <w:t>ore than a mere possibility.</w:t>
      </w:r>
      <w:r w:rsidR="00586142">
        <w:rPr>
          <w:rStyle w:val="FootnoteReference"/>
        </w:rPr>
        <w:footnoteReference w:id="72"/>
      </w:r>
      <w:r w:rsidR="00913CF7">
        <w:t xml:space="preserve">  </w:t>
      </w:r>
    </w:p>
    <w:p w14:paraId="5B3E66DA" w14:textId="77777777" w:rsidR="00DB3D8D" w:rsidRDefault="00DB3D8D" w:rsidP="00A06B7C">
      <w:pPr>
        <w:pStyle w:val="NumberedParagraph"/>
        <w:ind w:left="567" w:hanging="567"/>
      </w:pPr>
      <w:r w:rsidRPr="00692ACE">
        <w:t>Fairness must be judged as at the time the contract is made, although account may properly be taken of the likely effect of a term that is said to be unfair.</w:t>
      </w:r>
      <w:r w:rsidRPr="005566BD">
        <w:rPr>
          <w:rStyle w:val="FootnoteReference"/>
          <w:rFonts w:cs="Arial"/>
        </w:rPr>
        <w:footnoteReference w:id="73"/>
      </w:r>
      <w:r w:rsidRPr="005566BD">
        <w:rPr>
          <w:rFonts w:cs="Arial"/>
        </w:rPr>
        <w:t xml:space="preserve"> </w:t>
      </w:r>
      <w:r w:rsidRPr="00692ACE">
        <w:t xml:space="preserve">Accordingly it is not necessary to show that detriment was suffered at the time the contract was made. It is enough to show that detriment would exist in the future </w:t>
      </w:r>
      <w:proofErr w:type="gramStart"/>
      <w:r w:rsidRPr="00692ACE">
        <w:t>as a result of</w:t>
      </w:r>
      <w:proofErr w:type="gramEnd"/>
      <w:r w:rsidRPr="00692ACE">
        <w:t xml:space="preserve"> the application or reliance on the unfair term.</w:t>
      </w:r>
    </w:p>
    <w:p w14:paraId="675647DA" w14:textId="48794F30" w:rsidR="00586142" w:rsidRPr="00692ACE" w:rsidRDefault="00586142" w:rsidP="00A06B7C">
      <w:pPr>
        <w:pStyle w:val="NumberedParagraph"/>
        <w:ind w:left="567" w:hanging="567"/>
      </w:pPr>
      <w:r>
        <w:t xml:space="preserve">Detriment may include the imposition of liability in circumstances where the consumer would otherwise not be liable, or allowing the company to charge the consumer for </w:t>
      </w:r>
      <w:r>
        <w:lastRenderedPageBreak/>
        <w:t>damage for breach of contract where that breach did not cause or contribute to the damage.  It may include the imposition of a termination fee which is imposed regardless of the reasons for termination.</w:t>
      </w:r>
      <w:r>
        <w:rPr>
          <w:rStyle w:val="FootnoteReference"/>
        </w:rPr>
        <w:footnoteReference w:id="74"/>
      </w:r>
    </w:p>
    <w:p w14:paraId="03FC8DA5" w14:textId="77777777" w:rsidR="00DB3D8D" w:rsidRPr="00692ACE" w:rsidRDefault="00DB3D8D" w:rsidP="00A06B7C">
      <w:pPr>
        <w:spacing w:after="240" w:line="360" w:lineRule="auto"/>
        <w:ind w:left="567" w:hanging="567"/>
        <w:jc w:val="both"/>
        <w:rPr>
          <w:rFonts w:ascii="Arial" w:hAnsi="Arial" w:cs="Arial"/>
          <w:b/>
          <w:sz w:val="22"/>
          <w:lang w:val="en-AU"/>
        </w:rPr>
      </w:pPr>
      <w:r w:rsidRPr="00692ACE">
        <w:rPr>
          <w:rFonts w:ascii="Arial" w:hAnsi="Arial" w:cs="Arial"/>
          <w:b/>
          <w:sz w:val="22"/>
          <w:lang w:val="en-AU"/>
        </w:rPr>
        <w:t xml:space="preserve">The role of transparency </w:t>
      </w:r>
    </w:p>
    <w:p w14:paraId="0AD29B42" w14:textId="77777777" w:rsidR="00DB3D8D" w:rsidRPr="00692ACE" w:rsidRDefault="00DB3D8D" w:rsidP="00A06B7C">
      <w:pPr>
        <w:pStyle w:val="NumberedParagraph"/>
        <w:ind w:left="567" w:hanging="567"/>
        <w:rPr>
          <w:b/>
        </w:rPr>
      </w:pPr>
      <w:r w:rsidRPr="00692ACE">
        <w:t>In considering whether a term in a standard form consumer contract is unfair, a court may take into account any matter it thinks relevant but must take into account the contract as a whole and the extent to which the term is transparent. Transparency is defined in s 24(3) of the ACL. In regards to the elements of unfairness under the UCTL, transparency appears to be most relevant to a significant imbalance in the rights and obligations of the parties.</w:t>
      </w:r>
      <w:r w:rsidRPr="00692ACE">
        <w:rPr>
          <w:rStyle w:val="FootnoteReference"/>
          <w:rFonts w:cs="Arial"/>
        </w:rPr>
        <w:footnoteReference w:id="75"/>
      </w:r>
      <w:r w:rsidRPr="00692ACE">
        <w:t xml:space="preserve"> This suggests that a trader may overcome an allegation that a term causes a significant imbalance by establishing that the term was transparent. In such a case, the conditions for informed consent have been met.</w:t>
      </w:r>
    </w:p>
    <w:p w14:paraId="4C9ADBD0" w14:textId="5345214E" w:rsidR="00DB3D8D" w:rsidRPr="00692ACE" w:rsidRDefault="00DB3D8D" w:rsidP="00A06B7C">
      <w:pPr>
        <w:pStyle w:val="NumberedParagraph"/>
        <w:ind w:left="567" w:hanging="567"/>
        <w:rPr>
          <w:b/>
        </w:rPr>
      </w:pPr>
      <w:r w:rsidRPr="00692ACE">
        <w:t xml:space="preserve">This approach has some support in decisions by Judge Harbison, sitting as vice president of VCAT. The passage from the decision by Her Honour in </w:t>
      </w:r>
      <w:r w:rsidRPr="00692ACE">
        <w:rPr>
          <w:i/>
        </w:rPr>
        <w:t>Director of Consumer Affairs Victoria v Craig Langley Pty Ltd &amp; Matrix Pilates &amp; Yoga Pty Ltd</w:t>
      </w:r>
      <w:r w:rsidRPr="00692ACE">
        <w:rPr>
          <w:rStyle w:val="FootnoteReference"/>
          <w:rFonts w:cs="Arial"/>
        </w:rPr>
        <w:footnoteReference w:id="76"/>
      </w:r>
      <w:r w:rsidRPr="00692ACE">
        <w:rPr>
          <w:i/>
        </w:rPr>
        <w:t xml:space="preserve"> </w:t>
      </w:r>
      <w:r w:rsidRPr="00692ACE">
        <w:t xml:space="preserve">quoted in paragraph </w:t>
      </w:r>
      <w:r w:rsidR="00A306DF">
        <w:t>52</w:t>
      </w:r>
      <w:r w:rsidRPr="00692ACE">
        <w:t xml:space="preserve"> above, suggests that terms that have been subjected to genuine negotiation should not be lightly declared unfair.</w:t>
      </w:r>
    </w:p>
    <w:p w14:paraId="6BEF942D" w14:textId="77777777" w:rsidR="00DB3D8D" w:rsidRPr="00692ACE" w:rsidRDefault="00DB3D8D" w:rsidP="00A06B7C">
      <w:pPr>
        <w:pStyle w:val="NumberedParagraph"/>
        <w:ind w:left="567" w:hanging="567"/>
        <w:rPr>
          <w:b/>
        </w:rPr>
      </w:pPr>
      <w:r w:rsidRPr="00692ACE">
        <w:t xml:space="preserve">In </w:t>
      </w:r>
      <w:r w:rsidRPr="00692ACE">
        <w:rPr>
          <w:i/>
        </w:rPr>
        <w:t xml:space="preserve">Director of Consumer Affairs Victoria v </w:t>
      </w:r>
      <w:proofErr w:type="spellStart"/>
      <w:r w:rsidRPr="00692ACE">
        <w:rPr>
          <w:i/>
        </w:rPr>
        <w:t>Trainstation</w:t>
      </w:r>
      <w:proofErr w:type="spellEnd"/>
      <w:r w:rsidRPr="00692ACE">
        <w:rPr>
          <w:i/>
        </w:rPr>
        <w:t xml:space="preserve"> Health Clubs Pty Ltd (Civil Claims)</w:t>
      </w:r>
      <w:r w:rsidRPr="00692ACE">
        <w:t xml:space="preserve"> the question was whether a term in a gym membership contract that allowed the operator of the health club to change the location of the club within 12 kilometres without allowing the customer to terminate the agreement was an unfair term under the former Pt 2B of the Fair Trading Act. Harbison J held that:</w:t>
      </w:r>
    </w:p>
    <w:p w14:paraId="6114657A" w14:textId="77777777" w:rsidR="00DB3D8D" w:rsidRPr="00692ACE" w:rsidRDefault="00DB3D8D" w:rsidP="00A06B7C">
      <w:pPr>
        <w:spacing w:after="240" w:line="276" w:lineRule="auto"/>
        <w:ind w:left="1134"/>
        <w:jc w:val="both"/>
        <w:rPr>
          <w:rFonts w:ascii="Arial" w:hAnsi="Arial" w:cs="Arial"/>
          <w:sz w:val="22"/>
          <w:lang w:val="en-AU"/>
        </w:rPr>
      </w:pPr>
      <w:r w:rsidRPr="00692ACE">
        <w:rPr>
          <w:rFonts w:ascii="Arial" w:hAnsi="Arial" w:cs="Arial"/>
          <w:sz w:val="22"/>
          <w:lang w:val="en-AU"/>
        </w:rPr>
        <w:t>It is a term which in my view would surprise consumers. It is one which they would not expect. However, I can envisage that such a term might be perfectly fair if it was brought to a consumer’s attention prior to signing of a contract.</w:t>
      </w:r>
      <w:r w:rsidRPr="00692ACE">
        <w:rPr>
          <w:rStyle w:val="FootnoteReference"/>
          <w:rFonts w:ascii="Arial" w:hAnsi="Arial" w:cs="Arial"/>
          <w:sz w:val="22"/>
          <w:lang w:val="en-AU"/>
        </w:rPr>
        <w:footnoteReference w:id="77"/>
      </w:r>
    </w:p>
    <w:p w14:paraId="6685DF25" w14:textId="77777777" w:rsidR="00DB3D8D" w:rsidRPr="00692ACE" w:rsidRDefault="00DB3D8D" w:rsidP="00A06B7C">
      <w:pPr>
        <w:pStyle w:val="NumberedParagraph"/>
        <w:ind w:left="567" w:hanging="567"/>
        <w:rPr>
          <w:b/>
          <w:i/>
        </w:rPr>
      </w:pPr>
      <w:r w:rsidRPr="00692ACE">
        <w:t>Other authorities, however, suggest that transparency on</w:t>
      </w:r>
      <w:r w:rsidR="00AA6610">
        <w:t xml:space="preserve"> </w:t>
      </w:r>
      <w:r w:rsidRPr="00692ACE">
        <w:t>its own account cannot overcome underlying unfairness in a contract term.</w:t>
      </w:r>
      <w:r w:rsidRPr="00692ACE">
        <w:rPr>
          <w:rStyle w:val="FootnoteReference"/>
          <w:rFonts w:cs="Arial"/>
        </w:rPr>
        <w:footnoteReference w:id="78"/>
      </w:r>
      <w:r w:rsidRPr="00692ACE">
        <w:t xml:space="preserve"> In </w:t>
      </w:r>
      <w:r w:rsidRPr="00692ACE">
        <w:rPr>
          <w:i/>
        </w:rPr>
        <w:t>Jetstar Airways Pty Ltd v Free</w:t>
      </w:r>
      <w:r w:rsidRPr="00692ACE">
        <w:rPr>
          <w:rStyle w:val="FootnoteReference"/>
          <w:rFonts w:cs="Arial"/>
        </w:rPr>
        <w:footnoteReference w:id="79"/>
      </w:r>
      <w:r w:rsidRPr="00692ACE">
        <w:t xml:space="preserve"> </w:t>
      </w:r>
      <w:proofErr w:type="spellStart"/>
      <w:r w:rsidRPr="00692ACE">
        <w:t>Cavanough</w:t>
      </w:r>
      <w:proofErr w:type="spellEnd"/>
      <w:r w:rsidRPr="00692ACE">
        <w:t xml:space="preserve"> J expressed the view that, depending on all the circumstances, a term might </w:t>
      </w:r>
      <w:r w:rsidRPr="00692ACE">
        <w:lastRenderedPageBreak/>
        <w:t>be unfair notwithstanding full prior knowledge on the part of the consumer. Referring to the former Pt 2B of the Fair Trading Act, His Honour stated:</w:t>
      </w:r>
    </w:p>
    <w:p w14:paraId="38CE88E0" w14:textId="77777777" w:rsidR="00635C2B" w:rsidRPr="00337D9E" w:rsidRDefault="00DB3D8D" w:rsidP="00A06B7C">
      <w:pPr>
        <w:spacing w:after="240" w:line="276" w:lineRule="auto"/>
        <w:ind w:left="1134"/>
        <w:jc w:val="both"/>
        <w:rPr>
          <w:rFonts w:ascii="Arial" w:hAnsi="Arial" w:cs="Arial"/>
          <w:sz w:val="22"/>
          <w:lang w:val="en-AU"/>
        </w:rPr>
      </w:pPr>
      <w:r w:rsidRPr="00692ACE">
        <w:rPr>
          <w:rFonts w:ascii="Arial" w:hAnsi="Arial" w:cs="Arial"/>
          <w:sz w:val="22"/>
          <w:lang w:val="en-AU"/>
        </w:rPr>
        <w:t>The legislation proceeds on the assumption that some terms in consumer contracts, especially in standard form consumer contracts, may be inherently unfair.</w:t>
      </w:r>
      <w:r w:rsidRPr="00692ACE">
        <w:rPr>
          <w:rStyle w:val="FootnoteReference"/>
          <w:rFonts w:ascii="Arial" w:hAnsi="Arial" w:cs="Arial"/>
          <w:sz w:val="22"/>
          <w:lang w:val="en-AU"/>
        </w:rPr>
        <w:footnoteReference w:id="80"/>
      </w:r>
      <w:bookmarkStart w:id="24" w:name="_Toc410758556"/>
      <w:bookmarkStart w:id="25" w:name="_Toc284521944"/>
      <w:bookmarkStart w:id="26" w:name="_Toc287000869"/>
      <w:bookmarkStart w:id="27" w:name="_Toc238801661"/>
    </w:p>
    <w:p w14:paraId="6665CB92" w14:textId="51B8B9B3" w:rsidR="00635C2B" w:rsidRPr="001858E9" w:rsidRDefault="00635C2B" w:rsidP="00A06B7C">
      <w:pPr>
        <w:pStyle w:val="Heading1"/>
        <w:spacing w:before="0" w:after="240" w:line="360" w:lineRule="auto"/>
        <w:rPr>
          <w:rFonts w:ascii="Arial" w:hAnsi="Arial" w:cs="Arial"/>
          <w:b w:val="0"/>
          <w:color w:val="auto"/>
          <w:sz w:val="40"/>
          <w:u w:val="single"/>
          <w:lang w:val="en-AU"/>
        </w:rPr>
      </w:pPr>
      <w:r>
        <w:rPr>
          <w:rFonts w:ascii="Arial" w:hAnsi="Arial" w:cs="Arial"/>
          <w:b w:val="0"/>
          <w:color w:val="auto"/>
          <w:sz w:val="40"/>
          <w:u w:val="single"/>
          <w:lang w:val="en-AU"/>
        </w:rPr>
        <w:t>Some Case</w:t>
      </w:r>
      <w:bookmarkEnd w:id="24"/>
      <w:bookmarkEnd w:id="25"/>
      <w:bookmarkEnd w:id="26"/>
      <w:r w:rsidR="00D24980">
        <w:rPr>
          <w:rFonts w:ascii="Arial" w:hAnsi="Arial" w:cs="Arial"/>
          <w:b w:val="0"/>
          <w:color w:val="auto"/>
          <w:sz w:val="40"/>
          <w:u w:val="single"/>
          <w:lang w:val="en-AU"/>
        </w:rPr>
        <w:t xml:space="preserve"> Law</w:t>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r w:rsidRPr="00692ACE">
        <w:rPr>
          <w:rFonts w:ascii="Arial" w:hAnsi="Arial" w:cs="Arial"/>
          <w:b w:val="0"/>
          <w:color w:val="auto"/>
          <w:sz w:val="40"/>
          <w:u w:val="single"/>
          <w:lang w:val="en-AU"/>
        </w:rPr>
        <w:tab/>
      </w:r>
    </w:p>
    <w:p w14:paraId="6A3F83D7" w14:textId="77777777" w:rsidR="00635C2B" w:rsidRPr="0089349D" w:rsidRDefault="00635C2B" w:rsidP="00942CC4">
      <w:pPr>
        <w:pStyle w:val="NumberedParagraph"/>
        <w:numPr>
          <w:ilvl w:val="0"/>
          <w:numId w:val="0"/>
        </w:numPr>
        <w:rPr>
          <w:b/>
          <w:bCs/>
        </w:rPr>
      </w:pPr>
      <w:proofErr w:type="spellStart"/>
      <w:r w:rsidRPr="0089349D">
        <w:rPr>
          <w:b/>
          <w:bCs/>
        </w:rPr>
        <w:t>Chrisco</w:t>
      </w:r>
      <w:proofErr w:type="spellEnd"/>
      <w:r w:rsidRPr="0089349D">
        <w:rPr>
          <w:b/>
          <w:bCs/>
        </w:rPr>
        <w:t xml:space="preserve"> Hampers</w:t>
      </w:r>
    </w:p>
    <w:p w14:paraId="21B1CD36" w14:textId="27EB84FD" w:rsidR="00635C2B" w:rsidRPr="00692ACE" w:rsidRDefault="00635C2B" w:rsidP="00A06B7C">
      <w:pPr>
        <w:pStyle w:val="NumberedParagraph"/>
        <w:ind w:left="567" w:hanging="567"/>
      </w:pPr>
      <w:r w:rsidRPr="00692ACE">
        <w:t>In November 2015 Edelman J</w:t>
      </w:r>
      <w:r w:rsidR="008D0D2A">
        <w:t xml:space="preserve"> (as His Honour then was)</w:t>
      </w:r>
      <w:r w:rsidRPr="00692ACE">
        <w:t xml:space="preserve"> of the Federal Court handed down judgement in the matter of </w:t>
      </w:r>
      <w:r w:rsidRPr="00692ACE">
        <w:rPr>
          <w:i/>
        </w:rPr>
        <w:t xml:space="preserve">Australian Competition and Consumer Commission v </w:t>
      </w:r>
      <w:proofErr w:type="spellStart"/>
      <w:r w:rsidRPr="00692ACE">
        <w:rPr>
          <w:i/>
        </w:rPr>
        <w:t>Chrisco</w:t>
      </w:r>
      <w:proofErr w:type="spellEnd"/>
      <w:r w:rsidRPr="00692ACE">
        <w:rPr>
          <w:i/>
        </w:rPr>
        <w:t xml:space="preserve"> Hampers Australia Ltd</w:t>
      </w:r>
      <w:r w:rsidRPr="00692ACE">
        <w:t>.</w:t>
      </w:r>
      <w:r w:rsidRPr="00692ACE">
        <w:rPr>
          <w:rStyle w:val="FootnoteReference"/>
          <w:rFonts w:cs="Arial"/>
        </w:rPr>
        <w:footnoteReference w:id="81"/>
      </w:r>
      <w:r w:rsidRPr="00692ACE">
        <w:rPr>
          <w:i/>
        </w:rPr>
        <w:t xml:space="preserve"> </w:t>
      </w:r>
      <w:r>
        <w:t xml:space="preserve">The </w:t>
      </w:r>
      <w:r w:rsidRPr="00692ACE">
        <w:t xml:space="preserve">issue in this case, as far as the UCTL was concerned, was a term in the standard form contracts used by </w:t>
      </w:r>
      <w:proofErr w:type="spellStart"/>
      <w:r w:rsidRPr="0050626D">
        <w:t>Chrisco</w:t>
      </w:r>
      <w:proofErr w:type="spellEnd"/>
      <w:r w:rsidRPr="00692ACE">
        <w:t xml:space="preserve"> (called the </w:t>
      </w:r>
      <w:proofErr w:type="spellStart"/>
      <w:r w:rsidRPr="00692ACE">
        <w:t>HeadStart</w:t>
      </w:r>
      <w:proofErr w:type="spellEnd"/>
      <w:r w:rsidRPr="00692ACE">
        <w:t xml:space="preserve"> term) that required customers to allow </w:t>
      </w:r>
      <w:proofErr w:type="spellStart"/>
      <w:r w:rsidRPr="0050626D">
        <w:t>Chrisco</w:t>
      </w:r>
      <w:proofErr w:type="spellEnd"/>
      <w:r w:rsidRPr="00692ACE">
        <w:t xml:space="preserve"> to continue withdrawing funds from the customer's bank account even after the customer had made full payment for the goods ordered. The term would apply unless the customer opted out of it. The money withdrawn from the customer's bank account would be used for any future order made by the customer, but the customer would not obtain any discount on a future order and if the customer did not place an order, but requested a refund of the money paid, the money would be refunded without interest.</w:t>
      </w:r>
    </w:p>
    <w:p w14:paraId="3D1A5EFE" w14:textId="77777777" w:rsidR="0008015B" w:rsidRPr="00E2094D" w:rsidRDefault="0008015B" w:rsidP="00A06B7C">
      <w:pPr>
        <w:pStyle w:val="NumberedParagraph"/>
        <w:ind w:left="567" w:hanging="567"/>
        <w:rPr>
          <w:lang w:eastAsia="en-GB"/>
        </w:rPr>
      </w:pPr>
      <w:r>
        <w:rPr>
          <w:lang w:eastAsia="en-GB"/>
        </w:rPr>
        <w:t>The judge</w:t>
      </w:r>
      <w:r w:rsidRPr="00E2094D">
        <w:rPr>
          <w:lang w:eastAsia="en-GB"/>
        </w:rPr>
        <w:t xml:space="preserve"> accepted each of the following matters concerning the construction of s 24 put to him by senior counsel for the respondent:</w:t>
      </w:r>
    </w:p>
    <w:p w14:paraId="37BB0FF7" w14:textId="77777777" w:rsidR="0008015B" w:rsidRPr="00E2094D" w:rsidRDefault="0008015B" w:rsidP="00942CC4">
      <w:pPr>
        <w:pStyle w:val="NumberedParagraph"/>
        <w:numPr>
          <w:ilvl w:val="1"/>
          <w:numId w:val="1"/>
        </w:numPr>
        <w:rPr>
          <w:lang w:eastAsia="en-GB"/>
        </w:rPr>
      </w:pPr>
      <w:r w:rsidRPr="00E2094D">
        <w:rPr>
          <w:bdr w:val="none" w:sz="0" w:space="0" w:color="auto" w:frame="1"/>
          <w:lang w:eastAsia="en-GB"/>
        </w:rPr>
        <w:t xml:space="preserve">for a term to be unfair it must satisfy </w:t>
      </w:r>
      <w:r w:rsidR="0050626D">
        <w:rPr>
          <w:bdr w:val="none" w:sz="0" w:space="0" w:color="auto" w:frame="1"/>
          <w:lang w:eastAsia="en-GB"/>
        </w:rPr>
        <w:t>all three</w:t>
      </w:r>
      <w:r w:rsidRPr="00E2094D">
        <w:rPr>
          <w:bdr w:val="none" w:sz="0" w:space="0" w:color="auto" w:frame="1"/>
          <w:lang w:eastAsia="en-GB"/>
        </w:rPr>
        <w:t xml:space="preserve"> requirements </w:t>
      </w:r>
      <w:r w:rsidR="0050626D">
        <w:rPr>
          <w:bdr w:val="none" w:sz="0" w:space="0" w:color="auto" w:frame="1"/>
          <w:lang w:eastAsia="en-GB"/>
        </w:rPr>
        <w:t>in</w:t>
      </w:r>
      <w:r w:rsidRPr="00E2094D">
        <w:rPr>
          <w:bdr w:val="none" w:sz="0" w:space="0" w:color="auto" w:frame="1"/>
          <w:lang w:eastAsia="en-GB"/>
        </w:rPr>
        <w:t xml:space="preserve"> s 24(1)(a) to (c);</w:t>
      </w:r>
    </w:p>
    <w:p w14:paraId="1E603A78" w14:textId="77777777" w:rsidR="0008015B" w:rsidRPr="00E2094D" w:rsidRDefault="0008015B" w:rsidP="00942CC4">
      <w:pPr>
        <w:pStyle w:val="NumberedParagraph"/>
        <w:numPr>
          <w:ilvl w:val="1"/>
          <w:numId w:val="1"/>
        </w:numPr>
        <w:rPr>
          <w:lang w:eastAsia="en-GB"/>
        </w:rPr>
      </w:pPr>
      <w:r w:rsidRPr="00E2094D">
        <w:rPr>
          <w:bdr w:val="none" w:sz="0" w:space="0" w:color="auto" w:frame="1"/>
          <w:lang w:eastAsia="en-GB"/>
        </w:rPr>
        <w:t>the onus is upon the applicant to prove the matters in s 24(1)(a) and (c) but it is upon the respondent in relation to s 24(1)(b);</w:t>
      </w:r>
    </w:p>
    <w:p w14:paraId="6CAFC8DC" w14:textId="77777777" w:rsidR="0008015B" w:rsidRPr="00E2094D" w:rsidRDefault="0008015B" w:rsidP="00942CC4">
      <w:pPr>
        <w:pStyle w:val="NumberedParagraph"/>
        <w:numPr>
          <w:ilvl w:val="1"/>
          <w:numId w:val="1"/>
        </w:numPr>
        <w:rPr>
          <w:lang w:eastAsia="en-GB"/>
        </w:rPr>
      </w:pPr>
      <w:r w:rsidRPr="00E2094D">
        <w:rPr>
          <w:bdr w:val="none" w:sz="0" w:space="0" w:color="auto" w:frame="1"/>
          <w:lang w:eastAsia="en-GB"/>
        </w:rPr>
        <w:t>s 24(2)(a) only requires the Court to consider transparency in relation to the particular term that is said to be unfair and only in relation to the matters concerning that term in s 24(1)(a) to (c);</w:t>
      </w:r>
    </w:p>
    <w:p w14:paraId="2EB993C3" w14:textId="77777777" w:rsidR="0008015B" w:rsidRPr="00E2094D" w:rsidRDefault="0008015B" w:rsidP="00942CC4">
      <w:pPr>
        <w:pStyle w:val="NumberedParagraph"/>
        <w:numPr>
          <w:ilvl w:val="1"/>
          <w:numId w:val="1"/>
        </w:numPr>
        <w:rPr>
          <w:lang w:eastAsia="en-GB"/>
        </w:rPr>
      </w:pPr>
      <w:r w:rsidRPr="00E2094D">
        <w:rPr>
          <w:bdr w:val="none" w:sz="0" w:space="0" w:color="auto" w:frame="1"/>
          <w:lang w:eastAsia="en-GB"/>
        </w:rPr>
        <w:t xml:space="preserve">similarly, the assessment of the contract as a whole in s 24(1)(c) only requires the Court to consider the contract as a whole in relation to the particular term </w:t>
      </w:r>
      <w:r w:rsidRPr="00E2094D">
        <w:rPr>
          <w:bdr w:val="none" w:sz="0" w:space="0" w:color="auto" w:frame="1"/>
          <w:lang w:eastAsia="en-GB"/>
        </w:rPr>
        <w:lastRenderedPageBreak/>
        <w:t>that is said to be unfair and only in relation to the matters concerning that term in s 24(1)(a) to (c);</w:t>
      </w:r>
    </w:p>
    <w:p w14:paraId="206672CA" w14:textId="77777777" w:rsidR="0008015B" w:rsidRPr="00E2094D" w:rsidRDefault="0008015B" w:rsidP="00942CC4">
      <w:pPr>
        <w:pStyle w:val="NumberedParagraph"/>
        <w:numPr>
          <w:ilvl w:val="1"/>
          <w:numId w:val="1"/>
        </w:numPr>
        <w:rPr>
          <w:lang w:eastAsia="en-GB"/>
        </w:rPr>
      </w:pPr>
      <w:r w:rsidRPr="00E2094D">
        <w:rPr>
          <w:bdr w:val="none" w:sz="0" w:space="0" w:color="auto" w:frame="1"/>
          <w:lang w:eastAsia="en-GB"/>
        </w:rPr>
        <w:t>as the Explanatory Memorandum to the Trade Practices Amendment (Australian Consumer Law) Bill (No 2) provided at [5.39], "if a term is not transparent it does not mean that it is unfair and if a term is transparent it does not mean that it is not unfair"; and</w:t>
      </w:r>
    </w:p>
    <w:p w14:paraId="154E65C9" w14:textId="77777777" w:rsidR="00282808" w:rsidRDefault="0008015B" w:rsidP="00942CC4">
      <w:pPr>
        <w:pStyle w:val="NumberedParagraph"/>
        <w:numPr>
          <w:ilvl w:val="1"/>
          <w:numId w:val="1"/>
        </w:numPr>
        <w:rPr>
          <w:lang w:eastAsia="en-GB"/>
        </w:rPr>
      </w:pPr>
      <w:r w:rsidRPr="00E2094D">
        <w:rPr>
          <w:bdr w:val="none" w:sz="0" w:space="0" w:color="auto" w:frame="1"/>
          <w:lang w:eastAsia="en-GB"/>
        </w:rPr>
        <w:t>guidance can be had to s 25 which provides examples of unfair terms.</w:t>
      </w:r>
    </w:p>
    <w:p w14:paraId="7BA37E8C" w14:textId="77777777" w:rsidR="00635C2B" w:rsidRPr="00692ACE" w:rsidRDefault="00635C2B" w:rsidP="00A06B7C">
      <w:pPr>
        <w:pStyle w:val="NumberedParagraph"/>
        <w:ind w:left="567" w:hanging="567"/>
      </w:pPr>
      <w:r w:rsidRPr="00692ACE">
        <w:t xml:space="preserve">Edelman J held that the term was an unfair contract term. His Honour placed significant weight on the fact that </w:t>
      </w:r>
      <w:proofErr w:type="spellStart"/>
      <w:r w:rsidRPr="00692ACE">
        <w:t>Chrisco</w:t>
      </w:r>
      <w:proofErr w:type="spellEnd"/>
      <w:r w:rsidRPr="00692ACE">
        <w:t xml:space="preserve"> was not required to pay interest on the sums of money it withdrew from customers</w:t>
      </w:r>
      <w:r>
        <w:t>’</w:t>
      </w:r>
      <w:r w:rsidRPr="00692ACE">
        <w:t xml:space="preserve"> accounts and the fact that </w:t>
      </w:r>
      <w:proofErr w:type="spellStart"/>
      <w:r w:rsidRPr="00692ACE">
        <w:t>Chrisco</w:t>
      </w:r>
      <w:proofErr w:type="spellEnd"/>
      <w:r w:rsidRPr="00692ACE">
        <w:t xml:space="preserve"> did not provide any discount to a customer who subsequently chose to place an order. The detriment to the customer who paid money to </w:t>
      </w:r>
      <w:proofErr w:type="spellStart"/>
      <w:r w:rsidRPr="00692ACE">
        <w:t>Chrisco</w:t>
      </w:r>
      <w:proofErr w:type="spellEnd"/>
      <w:r w:rsidRPr="00692ACE">
        <w:t xml:space="preserve"> pursuant to the </w:t>
      </w:r>
      <w:proofErr w:type="spellStart"/>
      <w:r w:rsidRPr="00692ACE">
        <w:t>HeadStart</w:t>
      </w:r>
      <w:proofErr w:type="spellEnd"/>
      <w:r w:rsidRPr="00692ACE">
        <w:t xml:space="preserve"> term was not balanced by any substantial corresponding right or benefit that was received from </w:t>
      </w:r>
      <w:proofErr w:type="spellStart"/>
      <w:r w:rsidRPr="00692ACE">
        <w:t>Chrisco</w:t>
      </w:r>
      <w:proofErr w:type="spellEnd"/>
      <w:r w:rsidRPr="00692ACE">
        <w:t>.</w:t>
      </w:r>
      <w:r w:rsidRPr="00692ACE">
        <w:rPr>
          <w:rStyle w:val="FootnoteReference"/>
          <w:rFonts w:cs="Arial"/>
        </w:rPr>
        <w:footnoteReference w:id="82"/>
      </w:r>
      <w:r w:rsidRPr="00692ACE">
        <w:t xml:space="preserve"> Edelman J also placed reliance on the fact that the language of the </w:t>
      </w:r>
      <w:proofErr w:type="spellStart"/>
      <w:r w:rsidRPr="00692ACE">
        <w:t>HeadStart</w:t>
      </w:r>
      <w:proofErr w:type="spellEnd"/>
      <w:r w:rsidRPr="00692ACE">
        <w:t xml:space="preserve"> term was not plain and the term could have been presented in a manner that was far more legible, much clearer and more readily available to the consumer. These factors reduced the transparency of the </w:t>
      </w:r>
      <w:proofErr w:type="spellStart"/>
      <w:r w:rsidRPr="00692ACE">
        <w:t>HeadStart</w:t>
      </w:r>
      <w:proofErr w:type="spellEnd"/>
      <w:r w:rsidRPr="00692ACE">
        <w:t xml:space="preserve"> term.</w:t>
      </w:r>
      <w:r w:rsidRPr="00692ACE">
        <w:rPr>
          <w:rStyle w:val="FootnoteReference"/>
          <w:rFonts w:cs="Arial"/>
        </w:rPr>
        <w:footnoteReference w:id="83"/>
      </w:r>
      <w:r w:rsidRPr="00692ACE">
        <w:t xml:space="preserve"> At [97] of the judgement His Honour concluded:</w:t>
      </w:r>
    </w:p>
    <w:p w14:paraId="4A3AB958" w14:textId="77777777" w:rsidR="00635C2B" w:rsidRDefault="00635C2B" w:rsidP="00A06B7C">
      <w:pPr>
        <w:pStyle w:val="NumberedParagraph"/>
        <w:numPr>
          <w:ilvl w:val="0"/>
          <w:numId w:val="0"/>
        </w:numPr>
        <w:spacing w:line="276" w:lineRule="auto"/>
        <w:ind w:left="1134"/>
      </w:pPr>
      <w:r w:rsidRPr="00692ACE">
        <w:t xml:space="preserve">Overall, for the reasons I have expressed, and as an evaluative assessment of all the circumstances relevant to the </w:t>
      </w:r>
      <w:proofErr w:type="spellStart"/>
      <w:r w:rsidRPr="00692ACE">
        <w:t>HeadStart</w:t>
      </w:r>
      <w:proofErr w:type="spellEnd"/>
      <w:r w:rsidRPr="00692ACE">
        <w:t xml:space="preserve"> term including its transparency and the contract as a whole, the </w:t>
      </w:r>
      <w:proofErr w:type="spellStart"/>
      <w:r w:rsidRPr="00692ACE">
        <w:t>HeadStart</w:t>
      </w:r>
      <w:proofErr w:type="spellEnd"/>
      <w:r w:rsidRPr="00692ACE">
        <w:t xml:space="preserve"> term caused a significant imbalance in the parties' rights and obligations arising out of the contract.</w:t>
      </w:r>
    </w:p>
    <w:p w14:paraId="7B1A57B2" w14:textId="77777777" w:rsidR="00163C84" w:rsidRPr="00112879" w:rsidRDefault="00635C2B" w:rsidP="00942CC4">
      <w:pPr>
        <w:pStyle w:val="NumberedParagraph"/>
        <w:numPr>
          <w:ilvl w:val="0"/>
          <w:numId w:val="0"/>
        </w:numPr>
        <w:rPr>
          <w:b/>
          <w:bCs/>
        </w:rPr>
      </w:pPr>
      <w:r w:rsidRPr="00112879">
        <w:rPr>
          <w:b/>
          <w:bCs/>
        </w:rPr>
        <w:t>CLA Trading</w:t>
      </w:r>
    </w:p>
    <w:p w14:paraId="3CA33C07" w14:textId="24B4C07A" w:rsidR="00635C2B" w:rsidRPr="00692ACE" w:rsidRDefault="00635C2B" w:rsidP="00942CC4">
      <w:pPr>
        <w:pStyle w:val="NumberedParagraph"/>
        <w:tabs>
          <w:tab w:val="left" w:pos="567"/>
        </w:tabs>
        <w:ind w:left="567" w:hanging="567"/>
      </w:pPr>
      <w:r>
        <w:t xml:space="preserve">In April 2016 Gilmore J, gave judgement in the matter of </w:t>
      </w:r>
      <w:r w:rsidRPr="00282808">
        <w:rPr>
          <w:i/>
        </w:rPr>
        <w:t>ACCC v CLA Trading Pty Ltd</w:t>
      </w:r>
      <w:r>
        <w:rPr>
          <w:rStyle w:val="FootnoteReference"/>
          <w:rFonts w:cs="Arial"/>
          <w:i/>
        </w:rPr>
        <w:footnoteReference w:id="84"/>
      </w:r>
      <w:r>
        <w:t xml:space="preserve">.  The ACCC </w:t>
      </w:r>
      <w:r w:rsidRPr="00692ACE">
        <w:t>instituted proceedings in the Federal Court against CLA Trading Pty Ltd, trading as Europcar Australia, alleging that Europcar included unfair contract terms in its vehicle rental contracts and made false and misleading representations regarding the liability cover provided to car hire customers. The allegations regarding unfair contract terms relate</w:t>
      </w:r>
      <w:r w:rsidR="00802C9F">
        <w:t>d</w:t>
      </w:r>
      <w:r w:rsidRPr="00692ACE">
        <w:t xml:space="preserve"> to:</w:t>
      </w:r>
    </w:p>
    <w:p w14:paraId="5D42B5D4" w14:textId="77777777" w:rsidR="00635C2B" w:rsidRPr="00692ACE" w:rsidRDefault="00635C2B" w:rsidP="00942CC4">
      <w:pPr>
        <w:pStyle w:val="NumberedParagraph"/>
        <w:numPr>
          <w:ilvl w:val="0"/>
          <w:numId w:val="16"/>
        </w:numPr>
        <w:ind w:left="1418" w:hanging="567"/>
      </w:pPr>
      <w:r w:rsidRPr="00692ACE">
        <w:t>terms requiring consumers to pay a damage liability fee (up to $3,650) if the rental vehicle were damaged or stolen, irrespective of fault; and</w:t>
      </w:r>
    </w:p>
    <w:p w14:paraId="63466553" w14:textId="77777777" w:rsidR="00635C2B" w:rsidRPr="00692ACE" w:rsidRDefault="00635C2B" w:rsidP="00942CC4">
      <w:pPr>
        <w:pStyle w:val="NumberedParagraph"/>
        <w:numPr>
          <w:ilvl w:val="0"/>
          <w:numId w:val="16"/>
        </w:numPr>
        <w:ind w:left="1418" w:hanging="567"/>
      </w:pPr>
      <w:r w:rsidRPr="00692ACE">
        <w:lastRenderedPageBreak/>
        <w:t>terms making the consumer fully liable to Europcar if the rental vehicle were damaged or stolen and the consumer breached the rental contract, irrespective of how trivial the breach was and whether it caused the damage or loss.</w:t>
      </w:r>
    </w:p>
    <w:p w14:paraId="1EA9FCCB" w14:textId="77777777" w:rsidR="00282808" w:rsidRDefault="00635C2B" w:rsidP="00A06B7C">
      <w:pPr>
        <w:pStyle w:val="NumberedParagraph"/>
        <w:ind w:left="567" w:hanging="567"/>
      </w:pPr>
      <w:r w:rsidRPr="00692ACE">
        <w:t>Europcar initially decided to defend the proceedings, however, subsequently it substantially admitted the allegations made against it and against that background the parties tendered a statement of Agreed Facts and Admissions.</w:t>
      </w:r>
      <w:r w:rsidRPr="00692ACE">
        <w:rPr>
          <w:rStyle w:val="FootnoteReference"/>
          <w:rFonts w:cs="Arial"/>
        </w:rPr>
        <w:footnoteReference w:id="85"/>
      </w:r>
      <w:r w:rsidRPr="00692ACE">
        <w:t xml:space="preserve"> </w:t>
      </w:r>
      <w:r>
        <w:t xml:space="preserve">It was submitted to the court by both parties that the relevant car rental agreements were "financial products" with in the ASIC Act.  In the circumstances the case was decided pursuant to the provisions in the ASIC Act.   </w:t>
      </w:r>
    </w:p>
    <w:p w14:paraId="7A53B0D7" w14:textId="77777777" w:rsidR="00282808" w:rsidRDefault="00282808" w:rsidP="00A06B7C">
      <w:pPr>
        <w:pStyle w:val="NumberedParagraph"/>
        <w:ind w:left="567" w:hanging="567"/>
      </w:pPr>
      <w:r>
        <w:t>Gilmore J, summarised the principles applicable to unfair contract terms as follows:</w:t>
      </w:r>
    </w:p>
    <w:p w14:paraId="77B411AD" w14:textId="77777777" w:rsidR="00282808" w:rsidRPr="00E2094D" w:rsidRDefault="00282808" w:rsidP="00942CC4">
      <w:pPr>
        <w:pStyle w:val="NumberedParagraph"/>
        <w:numPr>
          <w:ilvl w:val="1"/>
          <w:numId w:val="1"/>
        </w:numPr>
        <w:rPr>
          <w:lang w:eastAsia="en-GB"/>
        </w:rPr>
      </w:pPr>
      <w:r w:rsidRPr="00E2094D">
        <w:rPr>
          <w:bdr w:val="none" w:sz="0" w:space="0" w:color="auto" w:frame="1"/>
          <w:lang w:eastAsia="en-GB"/>
        </w:rPr>
        <w:t>The underlying policy of unfair contract terms legislation respects true freedom of contract and seeks to prevent the abuse of standard form consumer contracts which, by definition, will not have been individually negotiated: </w:t>
      </w:r>
      <w:r w:rsidRPr="00E2094D">
        <w:rPr>
          <w:i/>
          <w:iCs/>
          <w:bdr w:val="none" w:sz="0" w:space="0" w:color="auto" w:frame="1"/>
          <w:lang w:eastAsia="en-GB"/>
        </w:rPr>
        <w:t>Jetstar Airways Pty Ltd v Free</w:t>
      </w:r>
      <w:r w:rsidRPr="00E2094D">
        <w:rPr>
          <w:bdr w:val="none" w:sz="0" w:space="0" w:color="auto" w:frame="1"/>
          <w:lang w:eastAsia="en-GB"/>
        </w:rPr>
        <w:t> </w:t>
      </w:r>
      <w:r w:rsidRPr="0008015B">
        <w:rPr>
          <w:bdr w:val="none" w:sz="0" w:space="0" w:color="auto" w:frame="1"/>
          <w:lang w:eastAsia="en-GB"/>
        </w:rPr>
        <w:t>[2008] VSC 539 at [112</w:t>
      </w:r>
      <w:r w:rsidRPr="00E2094D">
        <w:rPr>
          <w:u w:val="single"/>
          <w:bdr w:val="none" w:sz="0" w:space="0" w:color="auto" w:frame="1"/>
          <w:lang w:eastAsia="en-GB"/>
        </w:rPr>
        <w:t>]</w:t>
      </w:r>
      <w:r w:rsidRPr="00E2094D">
        <w:rPr>
          <w:bdr w:val="none" w:sz="0" w:space="0" w:color="auto" w:frame="1"/>
          <w:lang w:eastAsia="en-GB"/>
        </w:rPr>
        <w:t>;</w:t>
      </w:r>
    </w:p>
    <w:p w14:paraId="52171780" w14:textId="77777777" w:rsidR="00282808" w:rsidRPr="00E2094D" w:rsidRDefault="00282808" w:rsidP="00942CC4">
      <w:pPr>
        <w:pStyle w:val="NumberedParagraph"/>
        <w:numPr>
          <w:ilvl w:val="1"/>
          <w:numId w:val="1"/>
        </w:numPr>
        <w:rPr>
          <w:lang w:eastAsia="en-GB"/>
        </w:rPr>
      </w:pPr>
      <w:r w:rsidRPr="00E2094D">
        <w:rPr>
          <w:bdr w:val="none" w:sz="0" w:space="0" w:color="auto" w:frame="1"/>
          <w:lang w:eastAsia="en-GB"/>
        </w:rPr>
        <w:t>The requirement of a "significant imbalance" directs attention to the substantive unfairness of the contract: </w:t>
      </w:r>
      <w:r w:rsidRPr="00E2094D">
        <w:rPr>
          <w:i/>
          <w:iCs/>
          <w:bdr w:val="none" w:sz="0" w:space="0" w:color="auto" w:frame="1"/>
          <w:lang w:eastAsia="en-GB"/>
        </w:rPr>
        <w:t>Director General of Fair Trading v First National Bank plc</w:t>
      </w:r>
      <w:r w:rsidRPr="00E2094D">
        <w:rPr>
          <w:bdr w:val="none" w:sz="0" w:space="0" w:color="auto" w:frame="1"/>
          <w:lang w:eastAsia="en-GB"/>
        </w:rPr>
        <w:t> </w:t>
      </w:r>
      <w:r w:rsidRPr="0008015B">
        <w:rPr>
          <w:bdr w:val="none" w:sz="0" w:space="0" w:color="auto" w:frame="1"/>
          <w:lang w:eastAsia="en-GB"/>
        </w:rPr>
        <w:t>[2002] 1 AC 481;</w:t>
      </w:r>
      <w:r w:rsidRPr="00E2094D">
        <w:rPr>
          <w:bdr w:val="none" w:sz="0" w:space="0" w:color="auto" w:frame="1"/>
          <w:lang w:eastAsia="en-GB"/>
        </w:rPr>
        <w:t> [2001] UKHL 52 at [37] ;</w:t>
      </w:r>
    </w:p>
    <w:p w14:paraId="5AED7ADD" w14:textId="77777777" w:rsidR="00282808" w:rsidRPr="00E2094D" w:rsidRDefault="00282808" w:rsidP="00942CC4">
      <w:pPr>
        <w:pStyle w:val="NumberedParagraph"/>
        <w:numPr>
          <w:ilvl w:val="1"/>
          <w:numId w:val="1"/>
        </w:numPr>
        <w:rPr>
          <w:lang w:eastAsia="en-GB"/>
        </w:rPr>
      </w:pPr>
      <w:r w:rsidRPr="00E2094D">
        <w:rPr>
          <w:bdr w:val="none" w:sz="0" w:space="0" w:color="auto" w:frame="1"/>
          <w:lang w:eastAsia="en-GB"/>
        </w:rPr>
        <w:t xml:space="preserve">It is useful to assess the impact of an impugned term on the parties' rights and obligations by comparing the effect of the contract with the term and the effect it would have without it: </w:t>
      </w:r>
      <w:r w:rsidRPr="0008015B">
        <w:rPr>
          <w:i/>
          <w:iCs/>
          <w:bdr w:val="none" w:sz="0" w:space="0" w:color="auto" w:frame="1"/>
          <w:lang w:eastAsia="en-GB"/>
        </w:rPr>
        <w:t>Director General of Fair</w:t>
      </w:r>
      <w:r w:rsidR="0008015B" w:rsidRPr="0008015B">
        <w:rPr>
          <w:i/>
          <w:iCs/>
          <w:bdr w:val="none" w:sz="0" w:space="0" w:color="auto" w:frame="1"/>
          <w:lang w:eastAsia="en-GB"/>
        </w:rPr>
        <w:t xml:space="preserve"> </w:t>
      </w:r>
      <w:r w:rsidRPr="0008015B">
        <w:rPr>
          <w:i/>
          <w:iCs/>
          <w:bdr w:val="none" w:sz="0" w:space="0" w:color="auto" w:frame="1"/>
          <w:lang w:eastAsia="en-GB"/>
        </w:rPr>
        <w:t>Trading v First National Bank plc</w:t>
      </w:r>
      <w:r w:rsidRPr="00E2094D">
        <w:rPr>
          <w:bdr w:val="none" w:sz="0" w:space="0" w:color="auto" w:frame="1"/>
          <w:lang w:eastAsia="en-GB"/>
        </w:rPr>
        <w:t xml:space="preserve"> at [54];</w:t>
      </w:r>
    </w:p>
    <w:p w14:paraId="638F69AB" w14:textId="0B05A26D" w:rsidR="00282808" w:rsidRPr="0008015B" w:rsidRDefault="00282808" w:rsidP="00942CC4">
      <w:pPr>
        <w:pStyle w:val="NumberedParagraph"/>
        <w:numPr>
          <w:ilvl w:val="1"/>
          <w:numId w:val="1"/>
        </w:numPr>
        <w:rPr>
          <w:lang w:eastAsia="en-GB"/>
        </w:rPr>
      </w:pPr>
      <w:r w:rsidRPr="00E2094D">
        <w:rPr>
          <w:bdr w:val="none" w:sz="0" w:space="0" w:color="auto" w:frame="1"/>
          <w:lang w:eastAsia="en-GB"/>
        </w:rPr>
        <w:t xml:space="preserve">The "significant imbalance" requirement is met if a term is so weighted in favour of the supplier as to tilt the parties' rights and obligations under the contract significantly in its favour - this may be by the granting to the supplier of a beneficial option or discretion or power, or by the imposing on the consumer of a disadvantageous burden or risk or duty: </w:t>
      </w:r>
      <w:r w:rsidRPr="002C0C03">
        <w:rPr>
          <w:i/>
          <w:iCs/>
          <w:bdr w:val="none" w:sz="0" w:space="0" w:color="auto" w:frame="1"/>
          <w:lang w:eastAsia="en-GB"/>
        </w:rPr>
        <w:t xml:space="preserve">Director General of Fair Trading v First National Bank </w:t>
      </w:r>
      <w:r w:rsidR="002C0C03">
        <w:rPr>
          <w:i/>
          <w:iCs/>
          <w:bdr w:val="none" w:sz="0" w:space="0" w:color="auto" w:frame="1"/>
          <w:lang w:eastAsia="en-GB"/>
        </w:rPr>
        <w:t>PLC</w:t>
      </w:r>
      <w:r w:rsidRPr="00E2094D">
        <w:rPr>
          <w:bdr w:val="none" w:sz="0" w:space="0" w:color="auto" w:frame="1"/>
          <w:lang w:eastAsia="en-GB"/>
        </w:rPr>
        <w:t xml:space="preserve"> at [17] per Lord Bingham, applied in </w:t>
      </w:r>
      <w:r w:rsidRPr="00E2094D">
        <w:rPr>
          <w:i/>
          <w:iCs/>
          <w:bdr w:val="none" w:sz="0" w:space="0" w:color="auto" w:frame="1"/>
          <w:lang w:eastAsia="en-GB"/>
        </w:rPr>
        <w:t xml:space="preserve">Australian Competition and Consumer Commission v ACN 117 372 915 Pty Limited (in </w:t>
      </w:r>
      <w:proofErr w:type="spellStart"/>
      <w:r w:rsidRPr="00E2094D">
        <w:rPr>
          <w:i/>
          <w:iCs/>
          <w:bdr w:val="none" w:sz="0" w:space="0" w:color="auto" w:frame="1"/>
          <w:lang w:eastAsia="en-GB"/>
        </w:rPr>
        <w:t>liq</w:t>
      </w:r>
      <w:proofErr w:type="spellEnd"/>
      <w:r w:rsidRPr="00E2094D">
        <w:rPr>
          <w:i/>
          <w:iCs/>
          <w:bdr w:val="none" w:sz="0" w:space="0" w:color="auto" w:frame="1"/>
          <w:lang w:eastAsia="en-GB"/>
        </w:rPr>
        <w:t>) (formerly Advanced Medical Institute Pty Limited)</w:t>
      </w:r>
      <w:r w:rsidRPr="00E2094D">
        <w:rPr>
          <w:bdr w:val="none" w:sz="0" w:space="0" w:color="auto" w:frame="1"/>
          <w:lang w:eastAsia="en-GB"/>
        </w:rPr>
        <w:t> </w:t>
      </w:r>
      <w:r w:rsidRPr="0008015B">
        <w:rPr>
          <w:bdr w:val="none" w:sz="0" w:space="0" w:color="auto" w:frame="1"/>
          <w:lang w:eastAsia="en-GB"/>
        </w:rPr>
        <w:t>[2015] FCA 368 at [950] ;</w:t>
      </w:r>
    </w:p>
    <w:p w14:paraId="0FD5A8DB" w14:textId="77777777" w:rsidR="00282808" w:rsidRPr="00E2094D" w:rsidRDefault="00282808" w:rsidP="00942CC4">
      <w:pPr>
        <w:pStyle w:val="NumberedParagraph"/>
        <w:numPr>
          <w:ilvl w:val="1"/>
          <w:numId w:val="1"/>
        </w:numPr>
        <w:rPr>
          <w:lang w:eastAsia="en-GB"/>
        </w:rPr>
      </w:pPr>
      <w:r w:rsidRPr="00E2094D">
        <w:rPr>
          <w:bdr w:val="none" w:sz="0" w:space="0" w:color="auto" w:frame="1"/>
          <w:lang w:eastAsia="en-GB"/>
        </w:rPr>
        <w:t xml:space="preserve">Significant in this context means "significant in magnitude", or "sufficiently large to be important", "being a meaning not too distant from 'substantial'": </w:t>
      </w:r>
      <w:r w:rsidRPr="002C0C03">
        <w:rPr>
          <w:i/>
          <w:iCs/>
          <w:bdr w:val="none" w:sz="0" w:space="0" w:color="auto" w:frame="1"/>
          <w:lang w:eastAsia="en-GB"/>
        </w:rPr>
        <w:lastRenderedPageBreak/>
        <w:t>Jetstar Airways Pty Ltd v Free</w:t>
      </w:r>
      <w:r w:rsidRPr="00E2094D">
        <w:rPr>
          <w:bdr w:val="none" w:sz="0" w:space="0" w:color="auto" w:frame="1"/>
          <w:lang w:eastAsia="en-GB"/>
        </w:rPr>
        <w:t xml:space="preserve"> at [104]-[105] per </w:t>
      </w:r>
      <w:proofErr w:type="spellStart"/>
      <w:r w:rsidRPr="00E2094D">
        <w:rPr>
          <w:bdr w:val="none" w:sz="0" w:space="0" w:color="auto" w:frame="1"/>
          <w:lang w:eastAsia="en-GB"/>
        </w:rPr>
        <w:t>Cavanough</w:t>
      </w:r>
      <w:proofErr w:type="spellEnd"/>
      <w:r w:rsidRPr="00E2094D">
        <w:rPr>
          <w:bdr w:val="none" w:sz="0" w:space="0" w:color="auto" w:frame="1"/>
          <w:lang w:eastAsia="en-GB"/>
        </w:rPr>
        <w:t xml:space="preserve"> J; </w:t>
      </w:r>
      <w:proofErr w:type="spellStart"/>
      <w:r w:rsidRPr="00E2094D">
        <w:rPr>
          <w:bdr w:val="none" w:sz="0" w:space="0" w:color="auto" w:frame="1"/>
          <w:lang w:eastAsia="en-GB"/>
        </w:rPr>
        <w:t>cf</w:t>
      </w:r>
      <w:proofErr w:type="spellEnd"/>
      <w:r w:rsidRPr="00E2094D">
        <w:rPr>
          <w:bdr w:val="none" w:sz="0" w:space="0" w:color="auto" w:frame="1"/>
          <w:lang w:eastAsia="en-GB"/>
        </w:rPr>
        <w:t> </w:t>
      </w:r>
      <w:r w:rsidRPr="00E2094D">
        <w:rPr>
          <w:i/>
          <w:iCs/>
          <w:bdr w:val="none" w:sz="0" w:space="0" w:color="auto" w:frame="1"/>
          <w:lang w:eastAsia="en-GB"/>
        </w:rPr>
        <w:t>Director of Consumer Affairs Victoria v AAPT Limited</w:t>
      </w:r>
      <w:r w:rsidRPr="00E2094D">
        <w:rPr>
          <w:bdr w:val="none" w:sz="0" w:space="0" w:color="auto" w:frame="1"/>
          <w:lang w:eastAsia="en-GB"/>
        </w:rPr>
        <w:t> [2006] VCAT 1493 at [32]-[33</w:t>
      </w:r>
      <w:proofErr w:type="gramStart"/>
      <w:r w:rsidRPr="00E2094D">
        <w:rPr>
          <w:bdr w:val="none" w:sz="0" w:space="0" w:color="auto" w:frame="1"/>
          <w:lang w:eastAsia="en-GB"/>
        </w:rPr>
        <w:t>] ;</w:t>
      </w:r>
      <w:proofErr w:type="gramEnd"/>
    </w:p>
    <w:p w14:paraId="12BB83F9" w14:textId="77777777" w:rsidR="00282808" w:rsidRPr="00E2094D" w:rsidRDefault="00282808" w:rsidP="00942CC4">
      <w:pPr>
        <w:pStyle w:val="NumberedParagraph"/>
        <w:numPr>
          <w:ilvl w:val="1"/>
          <w:numId w:val="1"/>
        </w:numPr>
        <w:rPr>
          <w:lang w:eastAsia="en-GB"/>
        </w:rPr>
      </w:pPr>
      <w:r w:rsidRPr="00E2094D">
        <w:rPr>
          <w:bdr w:val="none" w:sz="0" w:space="0" w:color="auto" w:frame="1"/>
          <w:lang w:eastAsia="en-GB"/>
        </w:rPr>
        <w:t xml:space="preserve">The legislation proceeds on the assumption that some terms in consumer contracts, especially in standard form consumer contracts, may be inherently unfair, regardless of how comprehensively they might be drawn to the consumer's attention: </w:t>
      </w:r>
      <w:r w:rsidRPr="0008015B">
        <w:rPr>
          <w:i/>
          <w:iCs/>
          <w:bdr w:val="none" w:sz="0" w:space="0" w:color="auto" w:frame="1"/>
          <w:lang w:eastAsia="en-GB"/>
        </w:rPr>
        <w:t>Jetstar Airways Pty Ltd v Free</w:t>
      </w:r>
      <w:r w:rsidRPr="00E2094D">
        <w:rPr>
          <w:bdr w:val="none" w:sz="0" w:space="0" w:color="auto" w:frame="1"/>
          <w:lang w:eastAsia="en-GB"/>
        </w:rPr>
        <w:t xml:space="preserve"> at [115]; and</w:t>
      </w:r>
    </w:p>
    <w:p w14:paraId="3EC29397" w14:textId="77777777" w:rsidR="00282808" w:rsidRDefault="00282808" w:rsidP="00942CC4">
      <w:pPr>
        <w:pStyle w:val="NumberedParagraph"/>
        <w:numPr>
          <w:ilvl w:val="1"/>
          <w:numId w:val="1"/>
        </w:numPr>
        <w:rPr>
          <w:lang w:eastAsia="en-GB"/>
        </w:rPr>
      </w:pPr>
      <w:r w:rsidRPr="00E2094D">
        <w:rPr>
          <w:bdr w:val="none" w:sz="0" w:space="0" w:color="auto" w:frame="1"/>
          <w:lang w:eastAsia="en-GB"/>
        </w:rPr>
        <w:t xml:space="preserve">In considering "the contract as a whole", not each and every term of the contract is equally relevant, or necessarily relevant at all. The main requirement is to consider terms that might reasonably be seen as tending to counterbalance the term in question: </w:t>
      </w:r>
      <w:r w:rsidRPr="0050626D">
        <w:rPr>
          <w:i/>
          <w:iCs/>
          <w:bdr w:val="none" w:sz="0" w:space="0" w:color="auto" w:frame="1"/>
          <w:lang w:eastAsia="en-GB"/>
        </w:rPr>
        <w:t>Jetstar Airways Pty Ltd v Free</w:t>
      </w:r>
      <w:r w:rsidRPr="00E2094D">
        <w:rPr>
          <w:bdr w:val="none" w:sz="0" w:space="0" w:color="auto" w:frame="1"/>
          <w:lang w:eastAsia="en-GB"/>
        </w:rPr>
        <w:t xml:space="preserve"> at [128].</w:t>
      </w:r>
    </w:p>
    <w:p w14:paraId="49A4E12B" w14:textId="77777777" w:rsidR="00C21B66" w:rsidRDefault="00282808" w:rsidP="00A06B7C">
      <w:pPr>
        <w:pStyle w:val="NumberedParagraph"/>
        <w:ind w:left="567" w:hanging="567"/>
      </w:pPr>
      <w:r>
        <w:t>T</w:t>
      </w:r>
      <w:r w:rsidRPr="00692ACE">
        <w:t>he Court held that the terms as set out above were unfair contract terms and declared that they were void pursuant to the UCTL.</w:t>
      </w:r>
      <w:r w:rsidRPr="00692ACE">
        <w:rPr>
          <w:rStyle w:val="FootnoteReference"/>
          <w:rFonts w:cs="Arial"/>
        </w:rPr>
        <w:footnoteReference w:id="86"/>
      </w:r>
      <w:r w:rsidRPr="00692ACE">
        <w:t xml:space="preserve"> </w:t>
      </w:r>
      <w:r w:rsidR="00635C2B" w:rsidRPr="00692ACE">
        <w:t>The Court also found that Europcar made representations on its website that w</w:t>
      </w:r>
      <w:r w:rsidR="00635C2B">
        <w:t>ere</w:t>
      </w:r>
      <w:r w:rsidR="00635C2B" w:rsidRPr="00692ACE">
        <w:t xml:space="preserve"> misleading or deceptive or likely to mislead or deceive and imposed a pecuniary penalty </w:t>
      </w:r>
      <w:r w:rsidR="00635C2B">
        <w:t>of</w:t>
      </w:r>
      <w:r w:rsidR="00635C2B" w:rsidRPr="00692ACE">
        <w:t xml:space="preserve"> the sum of $100,000. Europcar was ordered to pay the ACCC's cost of the proceeding</w:t>
      </w:r>
      <w:r w:rsidR="00635C2B">
        <w:t xml:space="preserve">s, which was </w:t>
      </w:r>
      <w:r w:rsidR="00635C2B" w:rsidRPr="00692ACE">
        <w:t>$65,000.</w:t>
      </w:r>
    </w:p>
    <w:p w14:paraId="555F1C3D" w14:textId="77777777" w:rsidR="00635C2B" w:rsidRPr="00112879" w:rsidRDefault="00635C2B" w:rsidP="00942CC4">
      <w:pPr>
        <w:pStyle w:val="NumberedParagraph"/>
        <w:numPr>
          <w:ilvl w:val="0"/>
          <w:numId w:val="0"/>
        </w:numPr>
        <w:rPr>
          <w:b/>
          <w:bCs/>
        </w:rPr>
      </w:pPr>
      <w:r w:rsidRPr="00112879">
        <w:rPr>
          <w:b/>
          <w:bCs/>
        </w:rPr>
        <w:t xml:space="preserve">JJ Richards &amp; Sons  </w:t>
      </w:r>
    </w:p>
    <w:p w14:paraId="3CCB4666" w14:textId="77777777" w:rsidR="00FF4729" w:rsidRDefault="00635C2B" w:rsidP="00A06B7C">
      <w:pPr>
        <w:pStyle w:val="NumberedParagraph"/>
        <w:ind w:left="567" w:hanging="567"/>
      </w:pPr>
      <w:r>
        <w:t xml:space="preserve">On 13 October 2017 </w:t>
      </w:r>
      <w:proofErr w:type="spellStart"/>
      <w:r>
        <w:t>Moshinsky</w:t>
      </w:r>
      <w:proofErr w:type="spellEnd"/>
      <w:r>
        <w:t xml:space="preserve"> J</w:t>
      </w:r>
      <w:r w:rsidR="00FF4729">
        <w:t>,</w:t>
      </w:r>
      <w:r>
        <w:t xml:space="preserve"> gave judgment in the matter of </w:t>
      </w:r>
      <w:r w:rsidRPr="00001329">
        <w:rPr>
          <w:i/>
        </w:rPr>
        <w:t>ACCC v JJ Richards &amp; Sons Pty Ltd</w:t>
      </w:r>
      <w:r>
        <w:rPr>
          <w:i/>
        </w:rPr>
        <w:t>.</w:t>
      </w:r>
      <w:r w:rsidRPr="00001329">
        <w:rPr>
          <w:rStyle w:val="FootnoteReference"/>
          <w:rFonts w:cs="Arial"/>
        </w:rPr>
        <w:footnoteReference w:id="87"/>
      </w:r>
      <w:r>
        <w:rPr>
          <w:i/>
        </w:rPr>
        <w:t xml:space="preserve"> </w:t>
      </w:r>
      <w:r>
        <w:t xml:space="preserve">Of note is that this case concerned unfair contract terms in small business contracts.  JJ Richards admitted that a large number of </w:t>
      </w:r>
      <w:r w:rsidR="00FF4729">
        <w:t xml:space="preserve">its </w:t>
      </w:r>
      <w:r>
        <w:t>small business standard form waste management contracts contained terms that were unfair.  The unfair terms included</w:t>
      </w:r>
      <w:r w:rsidR="00FF4729">
        <w:t>:</w:t>
      </w:r>
    </w:p>
    <w:p w14:paraId="5D5882A8" w14:textId="77777777" w:rsidR="00FF4729" w:rsidRDefault="00635C2B" w:rsidP="00942CC4">
      <w:pPr>
        <w:pStyle w:val="NumberedParagraph"/>
        <w:numPr>
          <w:ilvl w:val="1"/>
          <w:numId w:val="1"/>
        </w:numPr>
      </w:pPr>
      <w:r>
        <w:t>a 5 year contract term that was subject to automatic renewal for another 5 years unless either party gave written notice within 30 days prior to the end of the initial term or the renewal term</w:t>
      </w:r>
      <w:r w:rsidR="00FF4729">
        <w:t>;</w:t>
      </w:r>
    </w:p>
    <w:p w14:paraId="27994B70" w14:textId="77777777" w:rsidR="00FF4729" w:rsidRDefault="00635C2B" w:rsidP="00942CC4">
      <w:pPr>
        <w:pStyle w:val="NumberedParagraph"/>
        <w:numPr>
          <w:ilvl w:val="1"/>
          <w:numId w:val="1"/>
        </w:numPr>
      </w:pPr>
      <w:r>
        <w:t>a unilateral price variation term in favour of JJ Richards</w:t>
      </w:r>
      <w:r w:rsidR="00FF4729">
        <w:t>;</w:t>
      </w:r>
    </w:p>
    <w:p w14:paraId="3EEFCA73" w14:textId="77777777" w:rsidR="00FF4729" w:rsidRDefault="00635C2B" w:rsidP="00942CC4">
      <w:pPr>
        <w:pStyle w:val="NumberedParagraph"/>
        <w:numPr>
          <w:ilvl w:val="1"/>
          <w:numId w:val="1"/>
        </w:numPr>
      </w:pPr>
      <w:r>
        <w:t>a term granting JJ Richards exclusivity</w:t>
      </w:r>
      <w:r w:rsidR="00FF4729">
        <w:t>;</w:t>
      </w:r>
      <w:r>
        <w:t xml:space="preserve"> and</w:t>
      </w:r>
    </w:p>
    <w:p w14:paraId="1036718D" w14:textId="77777777" w:rsidR="00635C2B" w:rsidRDefault="00635C2B" w:rsidP="00942CC4">
      <w:pPr>
        <w:pStyle w:val="NumberedParagraph"/>
        <w:numPr>
          <w:ilvl w:val="1"/>
          <w:numId w:val="1"/>
        </w:numPr>
      </w:pPr>
      <w:r>
        <w:t>a term that provided a customer could not terminate the agreement unless they have made payment of all monies outstanding.</w:t>
      </w:r>
    </w:p>
    <w:p w14:paraId="13AEE48C" w14:textId="77777777" w:rsidR="00635C2B" w:rsidRDefault="00635C2B" w:rsidP="00A06B7C">
      <w:pPr>
        <w:pStyle w:val="NumberedParagraph"/>
        <w:ind w:left="567" w:hanging="567"/>
      </w:pPr>
      <w:r>
        <w:lastRenderedPageBreak/>
        <w:t>In the age of apps and other online subscriptions</w:t>
      </w:r>
      <w:r w:rsidR="00846556">
        <w:t>,</w:t>
      </w:r>
      <w:r>
        <w:t xml:space="preserve"> automatic renewal terms are very common.  With respect to the automatic renewal clause </w:t>
      </w:r>
      <w:proofErr w:type="spellStart"/>
      <w:r>
        <w:t>Moshinsky</w:t>
      </w:r>
      <w:proofErr w:type="spellEnd"/>
      <w:r>
        <w:t xml:space="preserve"> J stated, albeit in a case that was ultimately not contested, that:</w:t>
      </w:r>
    </w:p>
    <w:p w14:paraId="37829CC9" w14:textId="77777777" w:rsidR="0050626D" w:rsidRPr="0082424C" w:rsidRDefault="00635C2B" w:rsidP="00A06B7C">
      <w:pPr>
        <w:pStyle w:val="NumberedParagraph"/>
        <w:numPr>
          <w:ilvl w:val="0"/>
          <w:numId w:val="0"/>
        </w:numPr>
        <w:spacing w:line="276" w:lineRule="auto"/>
        <w:ind w:left="1134"/>
      </w:pPr>
      <w:r>
        <w:t>The clause and, in particular, the limited period of time within which a JJR Customer can terminate the contract and the lack of any requirement in the contract for JJ Richards to provide notice to a customer that the contract is about to expire and that the automatic renewal will otherwise occur may result in JJR Customers inadvertently missing the opportunity to terminate the contract and therefore remaining contracted to JJ Richards for extensive periods with no opportunity to change to an alternative supplier during the term of the renewed contract.  In the context of the whole contract, the automatic renewal clause creates a significant imbalance in the respective rights and obligations of the parties as JJ Richards is more likely to be aware of when the customers' contracts are coming up for renewal than small business customers, who as small businesses have limited resources and competing demands that mean they may not have effective systems in place to identify the termination period for their waste management contract.</w:t>
      </w:r>
      <w:r>
        <w:rPr>
          <w:rStyle w:val="FootnoteReference"/>
          <w:rFonts w:cs="Arial"/>
        </w:rPr>
        <w:footnoteReference w:id="88"/>
      </w:r>
    </w:p>
    <w:p w14:paraId="28C5A144" w14:textId="77777777" w:rsidR="00520162" w:rsidRPr="00520162" w:rsidRDefault="00520162" w:rsidP="00942CC4">
      <w:pPr>
        <w:pStyle w:val="NumberedParagraph"/>
        <w:numPr>
          <w:ilvl w:val="0"/>
          <w:numId w:val="0"/>
        </w:numPr>
        <w:rPr>
          <w:b/>
          <w:bCs/>
          <w:iCs/>
        </w:rPr>
      </w:pPr>
      <w:r w:rsidRPr="00520162">
        <w:rPr>
          <w:b/>
          <w:bCs/>
          <w:iCs/>
        </w:rPr>
        <w:t>TPG Internet</w:t>
      </w:r>
    </w:p>
    <w:p w14:paraId="40C863CD" w14:textId="77777777" w:rsidR="00520162" w:rsidRPr="00520162" w:rsidRDefault="00520162" w:rsidP="00A06B7C">
      <w:pPr>
        <w:pStyle w:val="NumberedParagraph"/>
        <w:ind w:left="567" w:hanging="567"/>
        <w:rPr>
          <w:i/>
        </w:rPr>
      </w:pPr>
      <w:r>
        <w:rPr>
          <w:iCs/>
        </w:rPr>
        <w:t xml:space="preserve">In </w:t>
      </w:r>
      <w:r w:rsidRPr="00EE1BC4">
        <w:rPr>
          <w:i/>
        </w:rPr>
        <w:t>ACCC v TPG Internet Pty Ltd</w:t>
      </w:r>
      <w:r w:rsidR="00EE1BC4" w:rsidRPr="008376DE">
        <w:rPr>
          <w:rStyle w:val="FootnoteReference"/>
          <w:iCs/>
        </w:rPr>
        <w:footnoteReference w:id="89"/>
      </w:r>
      <w:r>
        <w:rPr>
          <w:iCs/>
        </w:rPr>
        <w:t>, O'Callaghan</w:t>
      </w:r>
      <w:r w:rsidR="0050626D">
        <w:rPr>
          <w:iCs/>
        </w:rPr>
        <w:t xml:space="preserve"> J</w:t>
      </w:r>
      <w:r>
        <w:rPr>
          <w:iCs/>
        </w:rPr>
        <w:t xml:space="preserve">, held that a forfeiture term in a mobile phone contract was not an unfair contract term.  TPG is a retailer of mobile, internet and home telephone services.  It supplies consumers on a prepaid basis, meaning that customers are required to pay TPG in advance for the </w:t>
      </w:r>
      <w:r w:rsidR="00FA6280">
        <w:rPr>
          <w:iCs/>
        </w:rPr>
        <w:t xml:space="preserve">selected </w:t>
      </w:r>
      <w:r>
        <w:rPr>
          <w:iCs/>
        </w:rPr>
        <w:t>service</w:t>
      </w:r>
      <w:r w:rsidR="00FA6280">
        <w:rPr>
          <w:iCs/>
        </w:rPr>
        <w:t xml:space="preserve">.  </w:t>
      </w:r>
    </w:p>
    <w:p w14:paraId="62A98EDB" w14:textId="77777777" w:rsidR="00520162" w:rsidRPr="00FA6280" w:rsidRDefault="00FA6280" w:rsidP="00A06B7C">
      <w:pPr>
        <w:pStyle w:val="NumberedParagraph"/>
        <w:ind w:left="567" w:hanging="567"/>
        <w:rPr>
          <w:i/>
        </w:rPr>
      </w:pPr>
      <w:r>
        <w:rPr>
          <w:iCs/>
        </w:rPr>
        <w:t>Each TPG plan required a fixed monthly amount to be paid by the customer in advance for the particular service included in the plan.  The prepayment is debited from the customer's nominated bank account or credit card.  For each mobile plan, TPG's website included the following term under the heading "Mobile Prepayment Outside Included Value":</w:t>
      </w:r>
    </w:p>
    <w:p w14:paraId="1DDA4A2B" w14:textId="77777777" w:rsidR="00FA6280" w:rsidRPr="00FA6280" w:rsidRDefault="00FA6280" w:rsidP="00A06B7C">
      <w:pPr>
        <w:pStyle w:val="NumberedParagraph"/>
        <w:numPr>
          <w:ilvl w:val="0"/>
          <w:numId w:val="0"/>
        </w:numPr>
        <w:spacing w:line="276" w:lineRule="auto"/>
        <w:ind w:left="1134"/>
        <w:rPr>
          <w:lang w:eastAsia="en-GB"/>
        </w:rPr>
      </w:pPr>
      <w:r w:rsidRPr="00C251B0">
        <w:rPr>
          <w:shd w:val="clear" w:color="auto" w:fill="FFFFFF"/>
          <w:lang w:eastAsia="en-GB"/>
        </w:rPr>
        <w:t xml:space="preserve">All TPG services are prepaid. You must pay the monthly recurring charges in advance. In addition, you must make a prepayment for usage that is not within the included value (if any) for the plan that you have acquired. Your initial prepayment will be $20. After registration, you may nominate how much you wish to prepay but the minimum amount is $20. The prepayment will be debited from your nominated bank account or credit card. By acquiring and continuing to use the service, you agree to an automatic top up of your prepayment. The top up will occur when the amount of prepayment falls to below $10. When that happens, TPG will debit a sufficient amount from your bank account/credit card to restore your nominated prepayment amount. If your usage is higher, this can occur more than once per </w:t>
      </w:r>
      <w:r w:rsidRPr="00C251B0">
        <w:rPr>
          <w:shd w:val="clear" w:color="auto" w:fill="FFFFFF"/>
          <w:lang w:eastAsia="en-GB"/>
        </w:rPr>
        <w:lastRenderedPageBreak/>
        <w:t>month. You authorise TPG to make such debits to your account/credit card. If you do not exceed the Included Value and do not incur any charges that are excluded from your plan, there will be no automatic top-ups. We will send you messages about your usage and the debits during the month. Your service will become inactive if our attempts to debit credit card/bank account to top up your prepayment are unsuccessful. If you do not use the prepayment, it will be forfeited to us when you cancel the service. You agree that no bill will be provided for the service and that direct debiting of your account or charge to your credit card may occur notwithstanding that no bill is provided and that it may occur even though you may not have had the opportunity to check charges at least 10 working days before the debit.</w:t>
      </w:r>
    </w:p>
    <w:p w14:paraId="5A5C0898" w14:textId="77777777" w:rsidR="00FA6280" w:rsidRPr="00BE6DF6" w:rsidRDefault="00FA6280" w:rsidP="00A06B7C">
      <w:pPr>
        <w:pStyle w:val="NumberedParagraph"/>
        <w:ind w:left="567" w:hanging="567"/>
        <w:rPr>
          <w:i/>
        </w:rPr>
      </w:pPr>
      <w:r>
        <w:rPr>
          <w:iCs/>
        </w:rPr>
        <w:t xml:space="preserve">The effect of the term was that a customer </w:t>
      </w:r>
      <w:r w:rsidR="00342CDE">
        <w:rPr>
          <w:iCs/>
        </w:rPr>
        <w:t>had to</w:t>
      </w:r>
      <w:r>
        <w:rPr>
          <w:iCs/>
        </w:rPr>
        <w:t xml:space="preserve"> provide a prepayment on the account of at least $20</w:t>
      </w:r>
      <w:r w:rsidR="00BE6DF6">
        <w:rPr>
          <w:iCs/>
        </w:rPr>
        <w:t xml:space="preserve"> (over and abo</w:t>
      </w:r>
      <w:r w:rsidR="00342CDE">
        <w:rPr>
          <w:iCs/>
        </w:rPr>
        <w:t>ve</w:t>
      </w:r>
      <w:r w:rsidR="00BE6DF6">
        <w:rPr>
          <w:iCs/>
        </w:rPr>
        <w:t xml:space="preserve"> the monthly</w:t>
      </w:r>
      <w:r w:rsidR="00C066D6">
        <w:rPr>
          <w:iCs/>
        </w:rPr>
        <w:t xml:space="preserve"> recurring charge</w:t>
      </w:r>
      <w:r w:rsidR="00BE6DF6">
        <w:rPr>
          <w:iCs/>
        </w:rPr>
        <w:t>)</w:t>
      </w:r>
      <w:r>
        <w:rPr>
          <w:iCs/>
        </w:rPr>
        <w:t xml:space="preserve">.  If </w:t>
      </w:r>
      <w:r w:rsidR="00BE6DF6">
        <w:rPr>
          <w:iCs/>
        </w:rPr>
        <w:t>the client used more than its allocated monthly usage or data, and the prepayment</w:t>
      </w:r>
      <w:r>
        <w:rPr>
          <w:iCs/>
        </w:rPr>
        <w:t xml:space="preserve"> gets to $10, TPG was authorise</w:t>
      </w:r>
      <w:r w:rsidR="001707A3">
        <w:rPr>
          <w:iCs/>
        </w:rPr>
        <w:t>d</w:t>
      </w:r>
      <w:r w:rsidR="00AD77DC">
        <w:rPr>
          <w:iCs/>
        </w:rPr>
        <w:t xml:space="preserve"> to top up</w:t>
      </w:r>
      <w:r w:rsidR="00BE6DF6">
        <w:rPr>
          <w:iCs/>
        </w:rPr>
        <w:t xml:space="preserve"> the prepayment to $20 or such higher amount as nominated by the customer</w:t>
      </w:r>
      <w:r w:rsidR="00342CDE">
        <w:rPr>
          <w:iCs/>
        </w:rPr>
        <w:t xml:space="preserve"> (this was called the Top-Up Term)</w:t>
      </w:r>
      <w:r w:rsidR="00BE6DF6">
        <w:rPr>
          <w:iCs/>
        </w:rPr>
        <w:t xml:space="preserve">.  </w:t>
      </w:r>
      <w:r w:rsidR="00C066D6">
        <w:rPr>
          <w:iCs/>
        </w:rPr>
        <w:t>When</w:t>
      </w:r>
      <w:r w:rsidR="00BE6DF6">
        <w:rPr>
          <w:iCs/>
        </w:rPr>
        <w:t xml:space="preserve"> the customer </w:t>
      </w:r>
      <w:r w:rsidR="00C066D6">
        <w:rPr>
          <w:iCs/>
        </w:rPr>
        <w:t>cancelled</w:t>
      </w:r>
      <w:r w:rsidR="00BE6DF6">
        <w:rPr>
          <w:iCs/>
        </w:rPr>
        <w:t xml:space="preserve"> the service the unused portion of the prepayment was forfeited to TPG</w:t>
      </w:r>
      <w:r w:rsidR="00C066D6">
        <w:rPr>
          <w:iCs/>
        </w:rPr>
        <w:t xml:space="preserve"> (this was called the Forfeiture Term)</w:t>
      </w:r>
      <w:r w:rsidR="00BE6DF6">
        <w:rPr>
          <w:iCs/>
        </w:rPr>
        <w:t>.  The practical effect was that in most cases the customer would forfeit at le</w:t>
      </w:r>
      <w:r w:rsidR="00C066D6">
        <w:rPr>
          <w:iCs/>
        </w:rPr>
        <w:t>ast</w:t>
      </w:r>
      <w:r w:rsidR="00BE6DF6">
        <w:rPr>
          <w:iCs/>
        </w:rPr>
        <w:t xml:space="preserve"> $10 of the prepayment to TPG when they </w:t>
      </w:r>
      <w:r w:rsidR="00C066D6">
        <w:rPr>
          <w:iCs/>
        </w:rPr>
        <w:t>cancelled</w:t>
      </w:r>
      <w:r w:rsidR="00BE6DF6">
        <w:rPr>
          <w:iCs/>
        </w:rPr>
        <w:t xml:space="preserve"> the service.</w:t>
      </w:r>
      <w:r w:rsidR="005D3880">
        <w:rPr>
          <w:iCs/>
        </w:rPr>
        <w:t xml:space="preserve">  There was evidence before the court that TPG held in excess of $16 million in respect of forfeited amounts.</w:t>
      </w:r>
    </w:p>
    <w:p w14:paraId="17C2992C" w14:textId="77777777" w:rsidR="001707A3" w:rsidRPr="00253AE7" w:rsidRDefault="001707A3" w:rsidP="00A06B7C">
      <w:pPr>
        <w:pStyle w:val="NumberedParagraph"/>
        <w:ind w:left="567" w:hanging="567"/>
        <w:rPr>
          <w:shd w:val="clear" w:color="auto" w:fill="FFFFFF"/>
          <w:lang w:eastAsia="en-GB"/>
        </w:rPr>
      </w:pPr>
      <w:r>
        <w:rPr>
          <w:shd w:val="clear" w:color="auto" w:fill="FFFFFF"/>
          <w:lang w:eastAsia="en-GB"/>
        </w:rPr>
        <w:t>The ACCC submitted</w:t>
      </w:r>
      <w:r w:rsidRPr="0063700B">
        <w:rPr>
          <w:shd w:val="clear" w:color="auto" w:fill="FFFFFF"/>
          <w:lang w:eastAsia="en-GB"/>
        </w:rPr>
        <w:t xml:space="preserve"> that the</w:t>
      </w:r>
      <w:r w:rsidR="00342CDE">
        <w:rPr>
          <w:shd w:val="clear" w:color="auto" w:fill="FFFFFF"/>
          <w:lang w:eastAsia="en-GB"/>
        </w:rPr>
        <w:t xml:space="preserve"> combined effect of the </w:t>
      </w:r>
      <w:proofErr w:type="spellStart"/>
      <w:r w:rsidR="00342CDE">
        <w:rPr>
          <w:shd w:val="clear" w:color="auto" w:fill="FFFFFF"/>
          <w:lang w:eastAsia="en-GB"/>
        </w:rPr>
        <w:t>Top-UP</w:t>
      </w:r>
      <w:proofErr w:type="spellEnd"/>
      <w:r w:rsidR="00342CDE">
        <w:rPr>
          <w:shd w:val="clear" w:color="auto" w:fill="FFFFFF"/>
          <w:lang w:eastAsia="en-GB"/>
        </w:rPr>
        <w:t xml:space="preserve"> and Forfeiture</w:t>
      </w:r>
      <w:r w:rsidRPr="0063700B">
        <w:rPr>
          <w:shd w:val="clear" w:color="auto" w:fill="FFFFFF"/>
          <w:lang w:eastAsia="en-GB"/>
        </w:rPr>
        <w:t xml:space="preserve"> </w:t>
      </w:r>
      <w:r>
        <w:rPr>
          <w:shd w:val="clear" w:color="auto" w:fill="FFFFFF"/>
          <w:lang w:eastAsia="en-GB"/>
        </w:rPr>
        <w:t>term</w:t>
      </w:r>
      <w:r w:rsidR="00342CDE">
        <w:rPr>
          <w:shd w:val="clear" w:color="auto" w:fill="FFFFFF"/>
          <w:lang w:eastAsia="en-GB"/>
        </w:rPr>
        <w:t>s</w:t>
      </w:r>
      <w:r>
        <w:rPr>
          <w:shd w:val="clear" w:color="auto" w:fill="FFFFFF"/>
          <w:lang w:eastAsia="en-GB"/>
        </w:rPr>
        <w:t xml:space="preserve"> was unfair because</w:t>
      </w:r>
      <w:r w:rsidR="00134F96">
        <w:rPr>
          <w:shd w:val="clear" w:color="auto" w:fill="FFFFFF"/>
          <w:lang w:eastAsia="en-GB"/>
        </w:rPr>
        <w:t xml:space="preserve"> its result was that</w:t>
      </w:r>
      <w:r w:rsidR="00342CDE">
        <w:rPr>
          <w:shd w:val="clear" w:color="auto" w:fill="FFFFFF"/>
          <w:lang w:eastAsia="en-GB"/>
        </w:rPr>
        <w:t xml:space="preserve"> at least</w:t>
      </w:r>
      <w:r w:rsidRPr="0063700B">
        <w:rPr>
          <w:shd w:val="clear" w:color="auto" w:fill="FFFFFF"/>
          <w:lang w:eastAsia="en-GB"/>
        </w:rPr>
        <w:t xml:space="preserve"> $10 of a customer's </w:t>
      </w:r>
      <w:r>
        <w:rPr>
          <w:shd w:val="clear" w:color="auto" w:fill="FFFFFF"/>
          <w:lang w:eastAsia="en-GB"/>
        </w:rPr>
        <w:t>p</w:t>
      </w:r>
      <w:r w:rsidRPr="0063700B">
        <w:rPr>
          <w:shd w:val="clear" w:color="auto" w:fill="FFFFFF"/>
          <w:lang w:eastAsia="en-GB"/>
        </w:rPr>
        <w:t>repayment</w:t>
      </w:r>
      <w:r w:rsidR="00C066D6">
        <w:rPr>
          <w:shd w:val="clear" w:color="auto" w:fill="FFFFFF"/>
          <w:lang w:eastAsia="en-GB"/>
        </w:rPr>
        <w:t xml:space="preserve"> would be forfeited and therefore</w:t>
      </w:r>
      <w:r>
        <w:rPr>
          <w:shd w:val="clear" w:color="auto" w:fill="FFFFFF"/>
          <w:lang w:eastAsia="en-GB"/>
        </w:rPr>
        <w:t xml:space="preserve"> no</w:t>
      </w:r>
      <w:r w:rsidR="00C066D6">
        <w:rPr>
          <w:shd w:val="clear" w:color="auto" w:fill="FFFFFF"/>
          <w:lang w:eastAsia="en-GB"/>
        </w:rPr>
        <w:t>t</w:t>
      </w:r>
      <w:r w:rsidRPr="0063700B">
        <w:rPr>
          <w:shd w:val="clear" w:color="auto" w:fill="FFFFFF"/>
          <w:lang w:eastAsia="en-GB"/>
        </w:rPr>
        <w:t xml:space="preserve"> used for services</w:t>
      </w:r>
      <w:r w:rsidR="00134F96">
        <w:rPr>
          <w:shd w:val="clear" w:color="auto" w:fill="FFFFFF"/>
          <w:lang w:eastAsia="en-GB"/>
        </w:rPr>
        <w:t>.</w:t>
      </w:r>
      <w:r w:rsidR="00253AE7">
        <w:rPr>
          <w:shd w:val="clear" w:color="auto" w:fill="FFFFFF"/>
          <w:lang w:eastAsia="en-GB"/>
        </w:rPr>
        <w:t xml:space="preserve">  Therefore, </w:t>
      </w:r>
      <w:r w:rsidR="00253AE7" w:rsidRPr="001707A3">
        <w:rPr>
          <w:shd w:val="clear" w:color="auto" w:fill="FFFFFF"/>
          <w:lang w:eastAsia="en-GB"/>
        </w:rPr>
        <w:t>TPG's customers were required to make a payment for which they received no</w:t>
      </w:r>
      <w:r w:rsidR="00253AE7">
        <w:rPr>
          <w:shd w:val="clear" w:color="auto" w:fill="FFFFFF"/>
          <w:lang w:eastAsia="en-GB"/>
        </w:rPr>
        <w:t xml:space="preserve"> benefit</w:t>
      </w:r>
      <w:r w:rsidR="00253AE7" w:rsidRPr="001707A3">
        <w:rPr>
          <w:shd w:val="clear" w:color="auto" w:fill="FFFFFF"/>
          <w:lang w:eastAsia="en-GB"/>
        </w:rPr>
        <w:t>.</w:t>
      </w:r>
      <w:r w:rsidR="00253AE7">
        <w:rPr>
          <w:shd w:val="clear" w:color="auto" w:fill="FFFFFF"/>
          <w:lang w:eastAsia="en-GB"/>
        </w:rPr>
        <w:t xml:space="preserve"> </w:t>
      </w:r>
      <w:r w:rsidR="00134F96" w:rsidRPr="00253AE7">
        <w:rPr>
          <w:shd w:val="clear" w:color="auto" w:fill="FFFFFF"/>
          <w:lang w:eastAsia="en-GB"/>
        </w:rPr>
        <w:t>It was also argued that the effect of the two terms was</w:t>
      </w:r>
      <w:r w:rsidRPr="00253AE7">
        <w:rPr>
          <w:shd w:val="clear" w:color="auto" w:fill="FFFFFF"/>
          <w:lang w:eastAsia="en-GB"/>
        </w:rPr>
        <w:t xml:space="preserve"> not</w:t>
      </w:r>
      <w:r w:rsidR="00342CDE" w:rsidRPr="00253AE7">
        <w:rPr>
          <w:shd w:val="clear" w:color="auto" w:fill="FFFFFF"/>
          <w:lang w:eastAsia="en-GB"/>
        </w:rPr>
        <w:t xml:space="preserve"> adequately</w:t>
      </w:r>
      <w:r w:rsidRPr="00253AE7">
        <w:rPr>
          <w:shd w:val="clear" w:color="auto" w:fill="FFFFFF"/>
          <w:lang w:eastAsia="en-GB"/>
        </w:rPr>
        <w:t xml:space="preserve"> disclosed to customers.  </w:t>
      </w:r>
    </w:p>
    <w:p w14:paraId="1F7ADA51" w14:textId="77777777" w:rsidR="00BE6DF6" w:rsidRPr="00342CDE" w:rsidRDefault="00442192" w:rsidP="00A06B7C">
      <w:pPr>
        <w:pStyle w:val="NumberedParagraph"/>
        <w:ind w:left="567" w:hanging="567"/>
      </w:pPr>
      <w:r>
        <w:rPr>
          <w:iCs/>
        </w:rPr>
        <w:t xml:space="preserve">Justice </w:t>
      </w:r>
      <w:r w:rsidR="00342CDE">
        <w:rPr>
          <w:iCs/>
        </w:rPr>
        <w:t>O'Callaghan, held that the Forfeiture Term was no</w:t>
      </w:r>
      <w:r w:rsidR="00D32670">
        <w:rPr>
          <w:iCs/>
        </w:rPr>
        <w:t>t</w:t>
      </w:r>
      <w:r w:rsidR="00342CDE">
        <w:rPr>
          <w:iCs/>
        </w:rPr>
        <w:t xml:space="preserve"> an unfair contract term for the following reasons:</w:t>
      </w:r>
    </w:p>
    <w:p w14:paraId="47162B25" w14:textId="77777777" w:rsidR="00342CDE" w:rsidRPr="00342CDE" w:rsidRDefault="00342CDE" w:rsidP="00942CC4">
      <w:pPr>
        <w:pStyle w:val="NumberedParagraph"/>
        <w:numPr>
          <w:ilvl w:val="1"/>
          <w:numId w:val="1"/>
        </w:numPr>
      </w:pPr>
      <w:r>
        <w:rPr>
          <w:iCs/>
        </w:rPr>
        <w:t>The judge did not accept that the term was not adequately disclosed.  The forfeiture of the unused part of the prepayment was sufficiently apparent to the reasonable or ordinary consumer.</w:t>
      </w:r>
    </w:p>
    <w:p w14:paraId="3881FC7D" w14:textId="77777777" w:rsidR="00D32670" w:rsidRPr="00D32670" w:rsidRDefault="00342CDE" w:rsidP="00942CC4">
      <w:pPr>
        <w:pStyle w:val="NumberedParagraph"/>
        <w:numPr>
          <w:ilvl w:val="1"/>
          <w:numId w:val="1"/>
        </w:numPr>
      </w:pPr>
      <w:r>
        <w:rPr>
          <w:iCs/>
        </w:rPr>
        <w:t xml:space="preserve">The judge did not accept the ACCC's argument that the customer received nothing for the forfeiture of the prepayment.  It was necessary to consider the </w:t>
      </w:r>
      <w:r w:rsidR="00C066D6">
        <w:rPr>
          <w:iCs/>
        </w:rPr>
        <w:t xml:space="preserve">forfeiture term within the </w:t>
      </w:r>
      <w:r>
        <w:rPr>
          <w:iCs/>
        </w:rPr>
        <w:t>contract as a whole.  The customer g</w:t>
      </w:r>
      <w:r w:rsidR="00C066D6">
        <w:rPr>
          <w:iCs/>
        </w:rPr>
        <w:t>ot</w:t>
      </w:r>
      <w:r>
        <w:rPr>
          <w:iCs/>
        </w:rPr>
        <w:t xml:space="preserve"> the opportunity to select a very cheap prepayment plan as opposed to a much more expensive unlimited data plan</w:t>
      </w:r>
      <w:r w:rsidR="00D32670">
        <w:rPr>
          <w:iCs/>
        </w:rPr>
        <w:t>. Therefore</w:t>
      </w:r>
      <w:r w:rsidR="00C066D6">
        <w:rPr>
          <w:iCs/>
        </w:rPr>
        <w:t>,</w:t>
      </w:r>
      <w:r w:rsidR="00D32670">
        <w:rPr>
          <w:iCs/>
        </w:rPr>
        <w:t xml:space="preserve"> the "fairness" of one plan versus another depend</w:t>
      </w:r>
      <w:r w:rsidR="00C066D6">
        <w:rPr>
          <w:iCs/>
        </w:rPr>
        <w:t>ed</w:t>
      </w:r>
      <w:r w:rsidR="00D32670">
        <w:rPr>
          <w:iCs/>
        </w:rPr>
        <w:t xml:space="preserve"> on matters of personal preference.</w:t>
      </w:r>
    </w:p>
    <w:p w14:paraId="6DC01D47" w14:textId="77777777" w:rsidR="00D32670" w:rsidRPr="00D32670" w:rsidRDefault="00D32670" w:rsidP="00942CC4">
      <w:pPr>
        <w:pStyle w:val="NumberedParagraph"/>
        <w:numPr>
          <w:ilvl w:val="1"/>
          <w:numId w:val="1"/>
        </w:numPr>
      </w:pPr>
      <w:r>
        <w:rPr>
          <w:iCs/>
        </w:rPr>
        <w:lastRenderedPageBreak/>
        <w:t xml:space="preserve">The term did not create a significant imbalance between the parties and the detriment, if any, is not unfair because the forfeiture term </w:t>
      </w:r>
      <w:r w:rsidR="00C066D6">
        <w:rPr>
          <w:iCs/>
        </w:rPr>
        <w:t>was</w:t>
      </w:r>
      <w:r>
        <w:rPr>
          <w:iCs/>
        </w:rPr>
        <w:t xml:space="preserve"> but one term within the contract which offer</w:t>
      </w:r>
      <w:r w:rsidR="00C066D6">
        <w:rPr>
          <w:iCs/>
        </w:rPr>
        <w:t>ed</w:t>
      </w:r>
      <w:r>
        <w:rPr>
          <w:iCs/>
        </w:rPr>
        <w:t xml:space="preserve"> low prices and provide</w:t>
      </w:r>
      <w:r w:rsidR="00C066D6">
        <w:rPr>
          <w:iCs/>
        </w:rPr>
        <w:t>d</w:t>
      </w:r>
      <w:r>
        <w:rPr>
          <w:iCs/>
        </w:rPr>
        <w:t xml:space="preserve"> customers with certainty as to their payments. </w:t>
      </w:r>
    </w:p>
    <w:p w14:paraId="7E300CC6" w14:textId="77777777" w:rsidR="00D32670" w:rsidRPr="00F244BC" w:rsidRDefault="00D32670" w:rsidP="00942CC4">
      <w:pPr>
        <w:pStyle w:val="NumberedParagraph"/>
        <w:numPr>
          <w:ilvl w:val="1"/>
          <w:numId w:val="1"/>
        </w:numPr>
      </w:pPr>
      <w:r>
        <w:rPr>
          <w:iCs/>
        </w:rPr>
        <w:t>TPG ha</w:t>
      </w:r>
      <w:r w:rsidR="00C066D6">
        <w:rPr>
          <w:iCs/>
        </w:rPr>
        <w:t>d</w:t>
      </w:r>
      <w:r>
        <w:rPr>
          <w:iCs/>
        </w:rPr>
        <w:t xml:space="preserve"> shown that the term </w:t>
      </w:r>
      <w:r w:rsidR="00C066D6">
        <w:rPr>
          <w:iCs/>
        </w:rPr>
        <w:t>was</w:t>
      </w:r>
      <w:r>
        <w:rPr>
          <w:iCs/>
        </w:rPr>
        <w:t xml:space="preserve"> reasonably necessary to protect </w:t>
      </w:r>
      <w:r w:rsidR="00C066D6">
        <w:rPr>
          <w:iCs/>
        </w:rPr>
        <w:t>their</w:t>
      </w:r>
      <w:r>
        <w:rPr>
          <w:iCs/>
        </w:rPr>
        <w:t xml:space="preserve"> legitimate interest.  The term was necessary to minimise the serious effects that bad debts had on the industry and the costs of telecommunication services.</w:t>
      </w:r>
      <w:r w:rsidR="008376DE">
        <w:rPr>
          <w:rStyle w:val="FootnoteReference"/>
          <w:iCs/>
        </w:rPr>
        <w:footnoteReference w:id="90"/>
      </w:r>
    </w:p>
    <w:p w14:paraId="1466FBFF" w14:textId="77777777" w:rsidR="00635C2B" w:rsidRDefault="00F244BC" w:rsidP="00A06B7C">
      <w:pPr>
        <w:pStyle w:val="NumberedParagraph"/>
        <w:ind w:left="567" w:hanging="567"/>
      </w:pPr>
      <w:r>
        <w:t xml:space="preserve">As a </w:t>
      </w:r>
      <w:r w:rsidR="009461C4">
        <w:t>result,</w:t>
      </w:r>
      <w:r>
        <w:t xml:space="preserve"> the ACCC's claim was dismissed with costs.</w:t>
      </w:r>
      <w:bookmarkEnd w:id="27"/>
    </w:p>
    <w:p w14:paraId="4DDE270C" w14:textId="77777777" w:rsidR="00C35E9A" w:rsidRPr="001858E9" w:rsidRDefault="00C35E9A" w:rsidP="00942CC4">
      <w:pPr>
        <w:pStyle w:val="NumberedParagraph"/>
        <w:numPr>
          <w:ilvl w:val="0"/>
          <w:numId w:val="0"/>
        </w:numPr>
        <w:ind w:left="360" w:hanging="360"/>
        <w:rPr>
          <w:b/>
          <w:bCs/>
        </w:rPr>
      </w:pPr>
      <w:proofErr w:type="spellStart"/>
      <w:r w:rsidRPr="00C35E9A">
        <w:rPr>
          <w:b/>
          <w:bCs/>
        </w:rPr>
        <w:t>Lobux</w:t>
      </w:r>
      <w:proofErr w:type="spellEnd"/>
      <w:r w:rsidRPr="00C35E9A">
        <w:rPr>
          <w:b/>
          <w:bCs/>
        </w:rPr>
        <w:t xml:space="preserve"> Pty Ltd v </w:t>
      </w:r>
      <w:proofErr w:type="spellStart"/>
      <w:r w:rsidRPr="00C35E9A">
        <w:rPr>
          <w:b/>
          <w:bCs/>
        </w:rPr>
        <w:t>Willshaun</w:t>
      </w:r>
      <w:proofErr w:type="spellEnd"/>
      <w:r w:rsidRPr="00C35E9A">
        <w:rPr>
          <w:b/>
          <w:bCs/>
        </w:rPr>
        <w:t xml:space="preserve"> Pty Ltd </w:t>
      </w:r>
    </w:p>
    <w:p w14:paraId="5E8CE727" w14:textId="7234EF49" w:rsidR="00021D6F" w:rsidRDefault="00C35E9A" w:rsidP="00A06B7C">
      <w:pPr>
        <w:pStyle w:val="NumberedParagraph"/>
        <w:ind w:left="567" w:hanging="567"/>
      </w:pPr>
      <w:proofErr w:type="spellStart"/>
      <w:r w:rsidRPr="00C35E9A">
        <w:rPr>
          <w:i/>
          <w:iCs/>
        </w:rPr>
        <w:t>Lobux</w:t>
      </w:r>
      <w:proofErr w:type="spellEnd"/>
      <w:r w:rsidRPr="00C35E9A">
        <w:rPr>
          <w:i/>
          <w:iCs/>
        </w:rPr>
        <w:t xml:space="preserve"> Pty Ltd v </w:t>
      </w:r>
      <w:proofErr w:type="spellStart"/>
      <w:r w:rsidRPr="00C35E9A">
        <w:rPr>
          <w:i/>
          <w:iCs/>
        </w:rPr>
        <w:t>Willshaun</w:t>
      </w:r>
      <w:proofErr w:type="spellEnd"/>
      <w:r w:rsidRPr="00C35E9A">
        <w:rPr>
          <w:i/>
          <w:iCs/>
        </w:rPr>
        <w:t xml:space="preserve"> Pty Ltd</w:t>
      </w:r>
      <w:r>
        <w:t xml:space="preserve"> [2022] FCA 204 provides an example of how the UCTL may apply in a commercial case between t</w:t>
      </w:r>
      <w:r w:rsidR="002C0C03">
        <w:t>w</w:t>
      </w:r>
      <w:r>
        <w:t xml:space="preserve">o contracting businesses.  </w:t>
      </w:r>
      <w:r w:rsidR="00021D6F">
        <w:t>The case concerned the manufacture of a custom made "</w:t>
      </w:r>
      <w:proofErr w:type="spellStart"/>
      <w:r w:rsidR="00021D6F">
        <w:t>Hooklift</w:t>
      </w:r>
      <w:proofErr w:type="spellEnd"/>
      <w:r w:rsidR="00021D6F">
        <w:t xml:space="preserve"> Backdoor Vacuum Tank" by the applicant (</w:t>
      </w:r>
      <w:proofErr w:type="spellStart"/>
      <w:r w:rsidR="00021D6F" w:rsidRPr="00021D6F">
        <w:rPr>
          <w:b/>
          <w:bCs/>
        </w:rPr>
        <w:t>Lobux</w:t>
      </w:r>
      <w:proofErr w:type="spellEnd"/>
      <w:r w:rsidR="00021D6F">
        <w:t>) for, and at the request of, the respondent (</w:t>
      </w:r>
      <w:proofErr w:type="spellStart"/>
      <w:r w:rsidR="00021D6F" w:rsidRPr="00021D6F">
        <w:rPr>
          <w:b/>
          <w:bCs/>
        </w:rPr>
        <w:t>Willshaun</w:t>
      </w:r>
      <w:proofErr w:type="spellEnd"/>
      <w:r w:rsidR="00021D6F">
        <w:t>).</w:t>
      </w:r>
    </w:p>
    <w:p w14:paraId="5E8C9D4E" w14:textId="77777777" w:rsidR="00021D6F" w:rsidRDefault="00026514" w:rsidP="00A06B7C">
      <w:pPr>
        <w:pStyle w:val="NumberedParagraph"/>
        <w:ind w:left="567" w:hanging="567"/>
      </w:pPr>
      <w:r>
        <w:t xml:space="preserve">Prior to the completion of the manufacture of the tank, </w:t>
      </w:r>
      <w:proofErr w:type="spellStart"/>
      <w:r>
        <w:t>Willshaun</w:t>
      </w:r>
      <w:proofErr w:type="spellEnd"/>
      <w:r>
        <w:t xml:space="preserve"> removed it from the possession of </w:t>
      </w:r>
      <w:proofErr w:type="spellStart"/>
      <w:r>
        <w:t>Lobux</w:t>
      </w:r>
      <w:proofErr w:type="spellEnd"/>
      <w:r>
        <w:t xml:space="preserve"> on the premise that it was going to have some work done on it by a third-party and that it would be returned.  The tank was not returned, nor was the balance of the purchase priced paid.  Notwithstanding, </w:t>
      </w:r>
      <w:proofErr w:type="spellStart"/>
      <w:r>
        <w:t>Willshaun</w:t>
      </w:r>
      <w:proofErr w:type="spellEnd"/>
      <w:r>
        <w:t xml:space="preserve"> used the tank in his business</w:t>
      </w:r>
      <w:r w:rsidR="00BF0FD0">
        <w:t xml:space="preserve"> and was still doing so at t</w:t>
      </w:r>
      <w:r w:rsidR="00846556">
        <w:t>he time of</w:t>
      </w:r>
      <w:r w:rsidR="00BF0FD0">
        <w:t xml:space="preserve"> trial</w:t>
      </w:r>
      <w:r>
        <w:t xml:space="preserve">.  </w:t>
      </w:r>
      <w:proofErr w:type="spellStart"/>
      <w:r>
        <w:t>Lobux</w:t>
      </w:r>
      <w:proofErr w:type="spellEnd"/>
      <w:r>
        <w:t xml:space="preserve"> registered a security interest over the tank pursuant to the PPSA and issued proceedings, seeking orders for the return of the tank.  </w:t>
      </w:r>
      <w:proofErr w:type="spellStart"/>
      <w:r>
        <w:t>Willshaun</w:t>
      </w:r>
      <w:proofErr w:type="spellEnd"/>
      <w:r>
        <w:t xml:space="preserve"> brought a </w:t>
      </w:r>
      <w:r w:rsidR="009532FF">
        <w:t>cross-claim</w:t>
      </w:r>
      <w:r>
        <w:t xml:space="preserve"> </w:t>
      </w:r>
      <w:r w:rsidR="001F3611">
        <w:t xml:space="preserve">alleging that the tank was not fit for purpose and sought a declaration that it was not required to pay the balance of the purchase price.  It also </w:t>
      </w:r>
      <w:r w:rsidR="009532FF">
        <w:t xml:space="preserve">sought </w:t>
      </w:r>
      <w:r>
        <w:t>declarations</w:t>
      </w:r>
      <w:r w:rsidR="001F3611">
        <w:t xml:space="preserve"> </w:t>
      </w:r>
      <w:r w:rsidR="009532FF">
        <w:t>under</w:t>
      </w:r>
      <w:r w:rsidR="001F3611">
        <w:t xml:space="preserve"> s 250 of the ACL</w:t>
      </w:r>
      <w:r>
        <w:t xml:space="preserve"> that certain terms within </w:t>
      </w:r>
      <w:proofErr w:type="spellStart"/>
      <w:r>
        <w:t>Lobux's</w:t>
      </w:r>
      <w:proofErr w:type="spellEnd"/>
      <w:r>
        <w:t xml:space="preserve"> standard </w:t>
      </w:r>
      <w:r w:rsidR="001F3611">
        <w:t xml:space="preserve">form contract were unfair terms. </w:t>
      </w:r>
    </w:p>
    <w:p w14:paraId="537BA6E1" w14:textId="77777777" w:rsidR="00096115" w:rsidRDefault="00BF0FD0" w:rsidP="00A06B7C">
      <w:pPr>
        <w:pStyle w:val="NumberedParagraph"/>
        <w:ind w:left="567" w:hanging="567"/>
      </w:pPr>
      <w:proofErr w:type="spellStart"/>
      <w:r>
        <w:t>Willshaun</w:t>
      </w:r>
      <w:proofErr w:type="spellEnd"/>
      <w:r>
        <w:t xml:space="preserve"> lost the case and was ordered to return the tank to </w:t>
      </w:r>
      <w:proofErr w:type="spellStart"/>
      <w:r>
        <w:t>Lobux</w:t>
      </w:r>
      <w:proofErr w:type="spellEnd"/>
      <w:r>
        <w:t>.  The court did</w:t>
      </w:r>
      <w:r w:rsidR="009532FF">
        <w:t>, however,</w:t>
      </w:r>
      <w:r>
        <w:t xml:space="preserve"> ma</w:t>
      </w:r>
      <w:r w:rsidR="009532FF">
        <w:t>d</w:t>
      </w:r>
      <w:r>
        <w:t>e a declaration that certain of the terms and conditions of the agreement between the parties were unfair contract terms and for that reason void.  The judge expressed the view that</w:t>
      </w:r>
      <w:r w:rsidR="009532FF">
        <w:t>, having regard to the evidence at trial,</w:t>
      </w:r>
      <w:r>
        <w:t xml:space="preserve"> </w:t>
      </w:r>
      <w:r w:rsidR="00096115">
        <w:t>no additional order was warranted in the relation to the unfair term</w:t>
      </w:r>
      <w:r w:rsidR="009532FF">
        <w:t>s,</w:t>
      </w:r>
      <w:r w:rsidR="00096115">
        <w:t xml:space="preserve"> but invited the parties to make further submissions in th</w:t>
      </w:r>
      <w:r w:rsidR="009532FF">
        <w:t>at</w:t>
      </w:r>
      <w:r w:rsidR="00096115">
        <w:t xml:space="preserve"> regard.</w:t>
      </w:r>
      <w:r w:rsidR="00FE2630">
        <w:rPr>
          <w:rStyle w:val="FootnoteReference"/>
        </w:rPr>
        <w:footnoteReference w:id="91"/>
      </w:r>
    </w:p>
    <w:p w14:paraId="49BDF502" w14:textId="77777777" w:rsidR="00C35E9A" w:rsidRDefault="00096115" w:rsidP="00A06B7C">
      <w:pPr>
        <w:pStyle w:val="NumberedParagraph"/>
        <w:ind w:left="567" w:hanging="567"/>
      </w:pPr>
      <w:r>
        <w:lastRenderedPageBreak/>
        <w:t>Of note for our purposes is one of the terms the judge found to be unfair.  This term provided as follows:</w:t>
      </w:r>
    </w:p>
    <w:p w14:paraId="500FA8CE" w14:textId="79238AA5" w:rsidR="00FE2630" w:rsidRPr="004B6002" w:rsidRDefault="00FE2630" w:rsidP="00A06B7C">
      <w:pPr>
        <w:autoSpaceDE w:val="0"/>
        <w:autoSpaceDN w:val="0"/>
        <w:adjustRightInd w:val="0"/>
        <w:spacing w:after="240" w:line="360" w:lineRule="auto"/>
        <w:ind w:left="851"/>
        <w:rPr>
          <w:rFonts w:ascii="Arial" w:hAnsi="Arial" w:cs="Arial"/>
          <w:sz w:val="22"/>
          <w:szCs w:val="22"/>
          <w:lang w:val="en-GB"/>
        </w:rPr>
      </w:pPr>
      <w:r w:rsidRPr="004B6002">
        <w:rPr>
          <w:rFonts w:ascii="Arial" w:hAnsi="Arial" w:cs="Arial"/>
          <w:sz w:val="22"/>
          <w:szCs w:val="22"/>
          <w:lang w:val="en-GB"/>
        </w:rPr>
        <w:t>12. Security and Charge</w:t>
      </w:r>
    </w:p>
    <w:p w14:paraId="3D7CFE0F" w14:textId="638AE49C" w:rsidR="00FE2630" w:rsidRPr="004B6002" w:rsidRDefault="00FE2630" w:rsidP="00A06B7C">
      <w:pPr>
        <w:autoSpaceDE w:val="0"/>
        <w:autoSpaceDN w:val="0"/>
        <w:adjustRightInd w:val="0"/>
        <w:spacing w:after="240" w:line="360" w:lineRule="auto"/>
        <w:ind w:left="851"/>
        <w:jc w:val="both"/>
        <w:rPr>
          <w:rFonts w:ascii="Arial" w:hAnsi="Arial" w:cs="Arial"/>
          <w:sz w:val="22"/>
          <w:szCs w:val="22"/>
          <w:lang w:val="en-GB"/>
        </w:rPr>
      </w:pPr>
      <w:r w:rsidRPr="004B6002">
        <w:rPr>
          <w:rFonts w:ascii="Arial" w:hAnsi="Arial" w:cs="Arial"/>
          <w:sz w:val="22"/>
          <w:szCs w:val="22"/>
          <w:lang w:val="en-GB"/>
        </w:rPr>
        <w:t>12.1 In consideration of [</w:t>
      </w:r>
      <w:proofErr w:type="spellStart"/>
      <w:r w:rsidRPr="004B6002">
        <w:rPr>
          <w:rFonts w:ascii="Arial" w:hAnsi="Arial" w:cs="Arial"/>
          <w:sz w:val="22"/>
          <w:szCs w:val="22"/>
          <w:lang w:val="en-GB"/>
        </w:rPr>
        <w:t>Lobux</w:t>
      </w:r>
      <w:proofErr w:type="spellEnd"/>
      <w:r w:rsidRPr="004B6002">
        <w:rPr>
          <w:rFonts w:ascii="Arial" w:hAnsi="Arial" w:cs="Arial"/>
          <w:sz w:val="22"/>
          <w:szCs w:val="22"/>
          <w:lang w:val="en-GB"/>
        </w:rPr>
        <w:t>] agreeing to supply the Goods, the Customer</w:t>
      </w:r>
      <w:r w:rsidR="00236FBF" w:rsidRPr="004B6002">
        <w:rPr>
          <w:rFonts w:ascii="Arial" w:hAnsi="Arial" w:cs="Arial"/>
          <w:sz w:val="22"/>
          <w:szCs w:val="22"/>
          <w:lang w:val="en-GB"/>
        </w:rPr>
        <w:t xml:space="preserve"> </w:t>
      </w:r>
      <w:r w:rsidRPr="004B6002">
        <w:rPr>
          <w:rFonts w:ascii="Arial" w:hAnsi="Arial" w:cs="Arial"/>
          <w:sz w:val="22"/>
          <w:szCs w:val="22"/>
          <w:lang w:val="en-GB"/>
        </w:rPr>
        <w:t>charges all</w:t>
      </w:r>
      <w:r w:rsidR="00236FBF" w:rsidRPr="004B6002">
        <w:rPr>
          <w:rFonts w:ascii="Arial" w:hAnsi="Arial" w:cs="Arial"/>
          <w:sz w:val="22"/>
          <w:szCs w:val="22"/>
          <w:lang w:val="en-GB"/>
        </w:rPr>
        <w:t xml:space="preserve"> </w:t>
      </w:r>
      <w:r w:rsidRPr="004B6002">
        <w:rPr>
          <w:rFonts w:ascii="Arial" w:hAnsi="Arial" w:cs="Arial"/>
          <w:sz w:val="22"/>
          <w:szCs w:val="22"/>
          <w:lang w:val="en-GB"/>
        </w:rPr>
        <w:t>of its rights, title and interest (whether joint or several) in any</w:t>
      </w:r>
      <w:r w:rsidR="00236FBF" w:rsidRPr="004B6002">
        <w:rPr>
          <w:rFonts w:ascii="Arial" w:hAnsi="Arial" w:cs="Arial"/>
          <w:sz w:val="22"/>
          <w:szCs w:val="22"/>
          <w:lang w:val="en-GB"/>
        </w:rPr>
        <w:t xml:space="preserve"> </w:t>
      </w:r>
      <w:r w:rsidRPr="004B6002">
        <w:rPr>
          <w:rFonts w:ascii="Arial" w:hAnsi="Arial" w:cs="Arial"/>
          <w:sz w:val="22"/>
          <w:szCs w:val="22"/>
          <w:lang w:val="en-GB"/>
        </w:rPr>
        <w:t>land, realty or other assets capable of being charged, owned by the Customer</w:t>
      </w:r>
      <w:r w:rsidR="00236FBF" w:rsidRPr="004B6002">
        <w:rPr>
          <w:rFonts w:ascii="Arial" w:hAnsi="Arial" w:cs="Arial"/>
          <w:sz w:val="22"/>
          <w:szCs w:val="22"/>
          <w:lang w:val="en-GB"/>
        </w:rPr>
        <w:t xml:space="preserve"> </w:t>
      </w:r>
      <w:r w:rsidRPr="004B6002">
        <w:rPr>
          <w:rFonts w:ascii="Arial" w:hAnsi="Arial" w:cs="Arial"/>
          <w:sz w:val="22"/>
          <w:szCs w:val="22"/>
          <w:lang w:val="en-GB"/>
        </w:rPr>
        <w:t>either</w:t>
      </w:r>
      <w:r w:rsidR="00236FBF" w:rsidRPr="004B6002">
        <w:rPr>
          <w:rFonts w:ascii="Arial" w:hAnsi="Arial" w:cs="Arial"/>
          <w:sz w:val="22"/>
          <w:szCs w:val="22"/>
          <w:lang w:val="en-GB"/>
        </w:rPr>
        <w:t xml:space="preserve"> </w:t>
      </w:r>
      <w:r w:rsidRPr="004B6002">
        <w:rPr>
          <w:rFonts w:ascii="Arial" w:hAnsi="Arial" w:cs="Arial"/>
          <w:sz w:val="22"/>
          <w:szCs w:val="22"/>
          <w:lang w:val="en-GB"/>
        </w:rPr>
        <w:t>now or in the future, to secure the performance by the Customer of its</w:t>
      </w:r>
      <w:r w:rsidR="00236FBF" w:rsidRPr="004B6002">
        <w:rPr>
          <w:rFonts w:ascii="Arial" w:hAnsi="Arial" w:cs="Arial"/>
          <w:sz w:val="22"/>
          <w:szCs w:val="22"/>
          <w:lang w:val="en-GB"/>
        </w:rPr>
        <w:t xml:space="preserve"> </w:t>
      </w:r>
      <w:r w:rsidRPr="004B6002">
        <w:rPr>
          <w:rFonts w:ascii="Arial" w:hAnsi="Arial" w:cs="Arial"/>
          <w:sz w:val="22"/>
          <w:szCs w:val="22"/>
          <w:lang w:val="en-GB"/>
        </w:rPr>
        <w:t>obligations under these terms and conditions (including, but not limited to,</w:t>
      </w:r>
      <w:r w:rsidR="00236FBF" w:rsidRPr="004B6002">
        <w:rPr>
          <w:rFonts w:ascii="Arial" w:hAnsi="Arial" w:cs="Arial"/>
          <w:sz w:val="22"/>
          <w:szCs w:val="22"/>
          <w:lang w:val="en-GB"/>
        </w:rPr>
        <w:t xml:space="preserve"> </w:t>
      </w:r>
      <w:r w:rsidRPr="004B6002">
        <w:rPr>
          <w:rFonts w:ascii="Arial" w:hAnsi="Arial" w:cs="Arial"/>
          <w:sz w:val="22"/>
          <w:szCs w:val="22"/>
          <w:lang w:val="en-GB"/>
        </w:rPr>
        <w:t>the payment of any money).</w:t>
      </w:r>
    </w:p>
    <w:p w14:paraId="7F2B6042" w14:textId="77777777" w:rsidR="00FE2630" w:rsidRPr="004B6002" w:rsidRDefault="00FE2630" w:rsidP="00A06B7C">
      <w:pPr>
        <w:autoSpaceDE w:val="0"/>
        <w:autoSpaceDN w:val="0"/>
        <w:adjustRightInd w:val="0"/>
        <w:spacing w:after="240" w:line="360" w:lineRule="auto"/>
        <w:ind w:left="851"/>
        <w:jc w:val="both"/>
        <w:rPr>
          <w:rFonts w:ascii="Arial" w:hAnsi="Arial" w:cs="Arial"/>
          <w:sz w:val="22"/>
          <w:szCs w:val="22"/>
          <w:lang w:val="en-GB"/>
        </w:rPr>
      </w:pPr>
      <w:r w:rsidRPr="004B6002">
        <w:rPr>
          <w:rFonts w:ascii="Arial" w:hAnsi="Arial" w:cs="Arial"/>
          <w:sz w:val="22"/>
          <w:szCs w:val="22"/>
          <w:lang w:val="en-GB"/>
        </w:rPr>
        <w:t>12.2 The Customer indemnifies [</w:t>
      </w:r>
      <w:proofErr w:type="spellStart"/>
      <w:r w:rsidRPr="004B6002">
        <w:rPr>
          <w:rFonts w:ascii="Arial" w:hAnsi="Arial" w:cs="Arial"/>
          <w:sz w:val="22"/>
          <w:szCs w:val="22"/>
          <w:lang w:val="en-GB"/>
        </w:rPr>
        <w:t>Lobux</w:t>
      </w:r>
      <w:proofErr w:type="spellEnd"/>
      <w:r w:rsidRPr="004B6002">
        <w:rPr>
          <w:rFonts w:ascii="Arial" w:hAnsi="Arial" w:cs="Arial"/>
          <w:sz w:val="22"/>
          <w:szCs w:val="22"/>
          <w:lang w:val="en-GB"/>
        </w:rPr>
        <w:t>] from and against all [</w:t>
      </w:r>
      <w:proofErr w:type="spellStart"/>
      <w:r w:rsidRPr="004B6002">
        <w:rPr>
          <w:rFonts w:ascii="Arial" w:hAnsi="Arial" w:cs="Arial"/>
          <w:sz w:val="22"/>
          <w:szCs w:val="22"/>
          <w:lang w:val="en-GB"/>
        </w:rPr>
        <w:t>Lobux’s</w:t>
      </w:r>
      <w:proofErr w:type="spellEnd"/>
      <w:r w:rsidRPr="004B6002">
        <w:rPr>
          <w:rFonts w:ascii="Arial" w:hAnsi="Arial" w:cs="Arial"/>
          <w:sz w:val="22"/>
          <w:szCs w:val="22"/>
          <w:lang w:val="en-GB"/>
        </w:rPr>
        <w:t>] costs and</w:t>
      </w:r>
    </w:p>
    <w:p w14:paraId="580560A1" w14:textId="62711A7F" w:rsidR="00FE2630" w:rsidRPr="004B6002" w:rsidRDefault="00FE2630" w:rsidP="00A06B7C">
      <w:pPr>
        <w:autoSpaceDE w:val="0"/>
        <w:autoSpaceDN w:val="0"/>
        <w:adjustRightInd w:val="0"/>
        <w:spacing w:after="240" w:line="360" w:lineRule="auto"/>
        <w:ind w:left="851"/>
        <w:jc w:val="both"/>
        <w:rPr>
          <w:rFonts w:ascii="Arial" w:hAnsi="Arial" w:cs="Arial"/>
          <w:sz w:val="22"/>
          <w:szCs w:val="22"/>
          <w:lang w:val="en-GB"/>
        </w:rPr>
      </w:pPr>
      <w:r w:rsidRPr="004B6002">
        <w:rPr>
          <w:rFonts w:ascii="Arial" w:hAnsi="Arial" w:cs="Arial"/>
          <w:sz w:val="22"/>
          <w:szCs w:val="22"/>
          <w:lang w:val="en-GB"/>
        </w:rPr>
        <w:t>disbursements including legal costs on a solicitor and own client basis</w:t>
      </w:r>
      <w:r w:rsidR="00236FBF" w:rsidRPr="004B6002">
        <w:rPr>
          <w:rFonts w:ascii="Arial" w:hAnsi="Arial" w:cs="Arial"/>
          <w:sz w:val="22"/>
          <w:szCs w:val="22"/>
          <w:lang w:val="en-GB"/>
        </w:rPr>
        <w:t xml:space="preserve"> </w:t>
      </w:r>
      <w:r w:rsidRPr="004B6002">
        <w:rPr>
          <w:rFonts w:ascii="Arial" w:hAnsi="Arial" w:cs="Arial"/>
          <w:sz w:val="22"/>
          <w:szCs w:val="22"/>
          <w:lang w:val="en-GB"/>
        </w:rPr>
        <w:t>incurred in exercising [</w:t>
      </w:r>
      <w:proofErr w:type="spellStart"/>
      <w:r w:rsidRPr="004B6002">
        <w:rPr>
          <w:rFonts w:ascii="Arial" w:hAnsi="Arial" w:cs="Arial"/>
          <w:sz w:val="22"/>
          <w:szCs w:val="22"/>
          <w:lang w:val="en-GB"/>
        </w:rPr>
        <w:t>Lobux’s</w:t>
      </w:r>
      <w:proofErr w:type="spellEnd"/>
      <w:r w:rsidRPr="004B6002">
        <w:rPr>
          <w:rFonts w:ascii="Arial" w:hAnsi="Arial" w:cs="Arial"/>
          <w:sz w:val="22"/>
          <w:szCs w:val="22"/>
          <w:lang w:val="en-GB"/>
        </w:rPr>
        <w:t>] rights under this clause.</w:t>
      </w:r>
    </w:p>
    <w:p w14:paraId="31473A80" w14:textId="670ED73C" w:rsidR="00236FBF" w:rsidRPr="004B6002" w:rsidRDefault="00FE2630" w:rsidP="00A06B7C">
      <w:pPr>
        <w:autoSpaceDE w:val="0"/>
        <w:autoSpaceDN w:val="0"/>
        <w:adjustRightInd w:val="0"/>
        <w:spacing w:after="240" w:line="360" w:lineRule="auto"/>
        <w:ind w:left="851"/>
        <w:jc w:val="both"/>
        <w:rPr>
          <w:rFonts w:ascii="Arial" w:hAnsi="Arial" w:cs="Arial"/>
          <w:sz w:val="22"/>
          <w:szCs w:val="22"/>
          <w:lang w:val="en-GB"/>
        </w:rPr>
      </w:pPr>
      <w:r w:rsidRPr="004B6002">
        <w:rPr>
          <w:rFonts w:ascii="Arial" w:hAnsi="Arial" w:cs="Arial"/>
          <w:sz w:val="22"/>
          <w:szCs w:val="22"/>
          <w:lang w:val="en-GB"/>
        </w:rPr>
        <w:t>12.3 The Customer irrevocably appoints [</w:t>
      </w:r>
      <w:proofErr w:type="spellStart"/>
      <w:r w:rsidRPr="004B6002">
        <w:rPr>
          <w:rFonts w:ascii="Arial" w:hAnsi="Arial" w:cs="Arial"/>
          <w:sz w:val="22"/>
          <w:szCs w:val="22"/>
          <w:lang w:val="en-GB"/>
        </w:rPr>
        <w:t>Lobux</w:t>
      </w:r>
      <w:proofErr w:type="spellEnd"/>
      <w:r w:rsidRPr="004B6002">
        <w:rPr>
          <w:rFonts w:ascii="Arial" w:hAnsi="Arial" w:cs="Arial"/>
          <w:sz w:val="22"/>
          <w:szCs w:val="22"/>
          <w:lang w:val="en-GB"/>
        </w:rPr>
        <w:t>] and each director of [</w:t>
      </w:r>
      <w:proofErr w:type="spellStart"/>
      <w:r w:rsidRPr="004B6002">
        <w:rPr>
          <w:rFonts w:ascii="Arial" w:hAnsi="Arial" w:cs="Arial"/>
          <w:sz w:val="22"/>
          <w:szCs w:val="22"/>
          <w:lang w:val="en-GB"/>
        </w:rPr>
        <w:t>Lobux</w:t>
      </w:r>
      <w:proofErr w:type="spellEnd"/>
      <w:r w:rsidRPr="004B6002">
        <w:rPr>
          <w:rFonts w:ascii="Arial" w:hAnsi="Arial" w:cs="Arial"/>
          <w:sz w:val="22"/>
          <w:szCs w:val="22"/>
          <w:lang w:val="en-GB"/>
        </w:rPr>
        <w:t>] as</w:t>
      </w:r>
      <w:r w:rsidR="00CD0F05">
        <w:rPr>
          <w:rFonts w:ascii="Arial" w:hAnsi="Arial" w:cs="Arial"/>
          <w:sz w:val="22"/>
          <w:szCs w:val="22"/>
          <w:lang w:val="en-GB"/>
        </w:rPr>
        <w:t xml:space="preserve"> </w:t>
      </w:r>
      <w:r w:rsidRPr="004B6002">
        <w:rPr>
          <w:rFonts w:ascii="Arial" w:hAnsi="Arial" w:cs="Arial"/>
          <w:sz w:val="22"/>
          <w:szCs w:val="22"/>
          <w:lang w:val="en-GB"/>
        </w:rPr>
        <w:t>the Customer’s true and lawful attorney/s to perform all necessary acts to</w:t>
      </w:r>
      <w:r w:rsidR="00236FBF" w:rsidRPr="004B6002">
        <w:rPr>
          <w:rFonts w:ascii="Arial" w:hAnsi="Arial" w:cs="Arial"/>
          <w:sz w:val="22"/>
          <w:szCs w:val="22"/>
          <w:lang w:val="en-GB"/>
        </w:rPr>
        <w:t xml:space="preserve"> </w:t>
      </w:r>
      <w:r w:rsidRPr="004B6002">
        <w:rPr>
          <w:rFonts w:ascii="Arial" w:hAnsi="Arial" w:cs="Arial"/>
          <w:sz w:val="22"/>
          <w:szCs w:val="22"/>
          <w:lang w:val="en-GB"/>
        </w:rPr>
        <w:t>give effect to the provisions of this clause 12 including, but not limited to,</w:t>
      </w:r>
      <w:r w:rsidR="00236FBF" w:rsidRPr="004B6002">
        <w:rPr>
          <w:rFonts w:ascii="Arial" w:hAnsi="Arial" w:cs="Arial"/>
          <w:sz w:val="22"/>
          <w:szCs w:val="22"/>
          <w:lang w:val="en-GB"/>
        </w:rPr>
        <w:t xml:space="preserve"> </w:t>
      </w:r>
      <w:r w:rsidRPr="004B6002">
        <w:rPr>
          <w:rFonts w:ascii="Arial" w:hAnsi="Arial" w:cs="Arial"/>
          <w:sz w:val="22"/>
          <w:szCs w:val="22"/>
          <w:lang w:val="en-GB"/>
        </w:rPr>
        <w:t>signing any document on the Customer’s behalf.</w:t>
      </w:r>
    </w:p>
    <w:p w14:paraId="149C0FDA" w14:textId="3F63FC9A" w:rsidR="00C35E9A" w:rsidRDefault="00FE2630" w:rsidP="00A06B7C">
      <w:pPr>
        <w:pStyle w:val="NumberedParagraph"/>
        <w:ind w:left="567" w:hanging="567"/>
      </w:pPr>
      <w:r>
        <w:t xml:space="preserve">The judge </w:t>
      </w:r>
      <w:r w:rsidR="00CD0F05">
        <w:t>found</w:t>
      </w:r>
      <w:r>
        <w:t xml:space="preserve"> that the clause was not expressed in reasonably plain language which means it cannot be concluded that it is transparent within the meaning of s 24(3) of the ACL.  </w:t>
      </w:r>
      <w:r w:rsidR="00B15A50">
        <w:t>The expression "</w:t>
      </w:r>
      <w:r w:rsidR="00B15A50" w:rsidRPr="000D776F">
        <w:rPr>
          <w:i/>
          <w:iCs/>
        </w:rPr>
        <w:t>any land, realty or other assets capable of being charged</w:t>
      </w:r>
      <w:r w:rsidR="00B15A50">
        <w:t>" would likely leave the customer in a position of uncertainty as to the meaning and effect of the clause.</w:t>
      </w:r>
      <w:r w:rsidR="00B15A50">
        <w:rPr>
          <w:rStyle w:val="FootnoteReference"/>
        </w:rPr>
        <w:footnoteReference w:id="92"/>
      </w:r>
    </w:p>
    <w:p w14:paraId="4218DF62" w14:textId="6E087BB5" w:rsidR="00AE7FC2" w:rsidRDefault="00AE7FC2" w:rsidP="00A06B7C">
      <w:pPr>
        <w:pStyle w:val="NumberedParagraph"/>
        <w:ind w:left="567" w:hanging="567"/>
      </w:pPr>
      <w:r>
        <w:t>More significantly</w:t>
      </w:r>
      <w:r w:rsidR="000D776F">
        <w:t>,</w:t>
      </w:r>
      <w:r>
        <w:t xml:space="preserve"> t</w:t>
      </w:r>
      <w:r w:rsidR="00B15A50">
        <w:t xml:space="preserve">he judge held that when the term </w:t>
      </w:r>
      <w:r w:rsidR="00D2712B">
        <w:t>was</w:t>
      </w:r>
      <w:r w:rsidR="00B15A50">
        <w:t xml:space="preserve"> considered in the context of the agreement as a whole – which included other terms w</w:t>
      </w:r>
      <w:r>
        <w:t>hich</w:t>
      </w:r>
      <w:r w:rsidR="00B15A50">
        <w:t xml:space="preserve"> provided an appropriate level of security for </w:t>
      </w:r>
      <w:proofErr w:type="spellStart"/>
      <w:r w:rsidR="00B15A50">
        <w:t>Lobux's</w:t>
      </w:r>
      <w:proofErr w:type="spellEnd"/>
      <w:r w:rsidR="00B15A50">
        <w:t xml:space="preserve"> legitimate interest – clause 12 created a significant imbalance in the rights and obligations </w:t>
      </w:r>
      <w:proofErr w:type="gramStart"/>
      <w:r w:rsidR="00B15A50">
        <w:t>arsing</w:t>
      </w:r>
      <w:proofErr w:type="gramEnd"/>
      <w:r w:rsidR="00B15A50">
        <w:t xml:space="preserve"> under the agreement.  It charge</w:t>
      </w:r>
      <w:r w:rsidR="00D2712B">
        <w:t>d</w:t>
      </w:r>
      <w:r w:rsidR="00B15A50">
        <w:t xml:space="preserve"> all rights, </w:t>
      </w:r>
      <w:proofErr w:type="gramStart"/>
      <w:r w:rsidR="00B15A50">
        <w:t>title</w:t>
      </w:r>
      <w:proofErr w:type="gramEnd"/>
      <w:r w:rsidR="00B15A50">
        <w:t xml:space="preserve"> and interest in all of the customer's </w:t>
      </w:r>
      <w:r>
        <w:t>assets</w:t>
      </w:r>
      <w:r w:rsidR="00B15A50">
        <w:t xml:space="preserve"> which are </w:t>
      </w:r>
      <w:r>
        <w:t>"</w:t>
      </w:r>
      <w:r w:rsidR="00B15A50" w:rsidRPr="004B6002">
        <w:rPr>
          <w:i/>
          <w:iCs/>
        </w:rPr>
        <w:t>capable of being charged</w:t>
      </w:r>
      <w:r w:rsidR="00B15A50">
        <w:t>" either "</w:t>
      </w:r>
      <w:r w:rsidR="00B15A50" w:rsidRPr="004B6002">
        <w:rPr>
          <w:i/>
          <w:iCs/>
        </w:rPr>
        <w:t>now or in the future</w:t>
      </w:r>
      <w:r w:rsidR="000D776F">
        <w:t>"</w:t>
      </w:r>
      <w:r w:rsidR="00B15A50">
        <w:t xml:space="preserve">.  </w:t>
      </w:r>
      <w:r>
        <w:t xml:space="preserve">It was held that such a clause </w:t>
      </w:r>
      <w:r w:rsidR="00D2712B">
        <w:t>was</w:t>
      </w:r>
      <w:r>
        <w:t xml:space="preserve"> excessive.  Moreover, </w:t>
      </w:r>
      <w:proofErr w:type="spellStart"/>
      <w:r>
        <w:t>Lobux</w:t>
      </w:r>
      <w:proofErr w:type="spellEnd"/>
      <w:r>
        <w:t xml:space="preserve"> did not rebut the presumption that the clause </w:t>
      </w:r>
      <w:r w:rsidR="00D2712B">
        <w:t>was</w:t>
      </w:r>
      <w:r>
        <w:t xml:space="preserve"> not reasonably necessary </w:t>
      </w:r>
      <w:proofErr w:type="gramStart"/>
      <w:r>
        <w:t>in order to</w:t>
      </w:r>
      <w:proofErr w:type="gramEnd"/>
      <w:r>
        <w:t xml:space="preserve"> protect its legitimate interest.  As result the court held that clause 12 </w:t>
      </w:r>
      <w:r w:rsidR="00D2712B">
        <w:t>was</w:t>
      </w:r>
      <w:r>
        <w:t xml:space="preserve"> an unfair term.</w:t>
      </w:r>
    </w:p>
    <w:p w14:paraId="4F3E8D7D" w14:textId="77777777" w:rsidR="004B6002" w:rsidRDefault="004B6002" w:rsidP="00A06B7C">
      <w:pPr>
        <w:pStyle w:val="NumberedParagraph"/>
        <w:ind w:left="567" w:hanging="567"/>
      </w:pPr>
      <w:r>
        <w:t>Clauses in supply agreements that purports to create a security interest in favour of the supplier by way of an equitable charge</w:t>
      </w:r>
      <w:r w:rsidR="00632EEE">
        <w:t xml:space="preserve"> over land</w:t>
      </w:r>
      <w:r>
        <w:t xml:space="preserve"> are</w:t>
      </w:r>
      <w:r w:rsidR="00712A7E">
        <w:t xml:space="preserve"> not un</w:t>
      </w:r>
      <w:r>
        <w:t xml:space="preserve">common.  Often such clauses </w:t>
      </w:r>
      <w:r>
        <w:lastRenderedPageBreak/>
        <w:t>also provide for the right to lodge a caveat against land owned by the customer.</w:t>
      </w:r>
      <w:r w:rsidR="00712A7E">
        <w:rPr>
          <w:rStyle w:val="FootnoteReference"/>
        </w:rPr>
        <w:footnoteReference w:id="93"/>
      </w:r>
      <w:r w:rsidR="00712A7E">
        <w:t xml:space="preserve"> Suppliers that provide credit to their customers and use such a clause to </w:t>
      </w:r>
      <w:r w:rsidR="003E6967">
        <w:t>obtain</w:t>
      </w:r>
      <w:r w:rsidR="00712A7E">
        <w:t xml:space="preserve"> security </w:t>
      </w:r>
      <w:r w:rsidR="003E6967">
        <w:t>for debts owed by the customer</w:t>
      </w:r>
      <w:r w:rsidR="00712A7E">
        <w:t xml:space="preserve"> should take note of this decision.</w:t>
      </w:r>
    </w:p>
    <w:p w14:paraId="6014A29F" w14:textId="77777777" w:rsidR="008D0D2A" w:rsidRDefault="008D0D2A" w:rsidP="00A06B7C">
      <w:pPr>
        <w:pStyle w:val="NumberedParagraph"/>
        <w:numPr>
          <w:ilvl w:val="0"/>
          <w:numId w:val="0"/>
        </w:numPr>
        <w:jc w:val="center"/>
      </w:pPr>
      <w:r>
        <w:t>---------------------------------------------------</w:t>
      </w:r>
    </w:p>
    <w:p w14:paraId="44CC9E62" w14:textId="77777777" w:rsidR="00207DDC" w:rsidRPr="00692ACE" w:rsidRDefault="00207DDC" w:rsidP="00A06B7C">
      <w:pPr>
        <w:spacing w:after="240" w:line="360" w:lineRule="auto"/>
        <w:rPr>
          <w:rFonts w:cs="Arial"/>
          <w:b/>
          <w:lang w:val="en-AU"/>
        </w:rPr>
      </w:pPr>
    </w:p>
    <w:sectPr w:rsidR="00207DDC" w:rsidRPr="00692ACE" w:rsidSect="00A06B7C">
      <w:headerReference w:type="default" r:id="rId11"/>
      <w:headerReference w:type="first" r:id="rId12"/>
      <w:pgSz w:w="11906" w:h="16838"/>
      <w:pgMar w:top="1440" w:right="139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DBA4" w14:textId="77777777" w:rsidR="00973CF9" w:rsidRDefault="00973CF9" w:rsidP="009E4480">
      <w:r>
        <w:separator/>
      </w:r>
    </w:p>
  </w:endnote>
  <w:endnote w:type="continuationSeparator" w:id="0">
    <w:p w14:paraId="43A7A5B6" w14:textId="77777777" w:rsidR="00973CF9" w:rsidRDefault="00973CF9" w:rsidP="009E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thelas Regular">
    <w:altName w:val="Corbel"/>
    <w:panose1 w:val="02000503000000020003"/>
    <w:charset w:val="00"/>
    <w:family w:val="auto"/>
    <w:pitch w:val="variable"/>
    <w:sig w:usb0="A00000AF" w:usb1="5000205B"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DE3F" w14:textId="77777777" w:rsidR="00973CF9" w:rsidRDefault="00973CF9" w:rsidP="009E4480">
      <w:r>
        <w:separator/>
      </w:r>
    </w:p>
  </w:footnote>
  <w:footnote w:type="continuationSeparator" w:id="0">
    <w:p w14:paraId="5EC264EB" w14:textId="77777777" w:rsidR="00973CF9" w:rsidRDefault="00973CF9" w:rsidP="009E4480">
      <w:r>
        <w:continuationSeparator/>
      </w:r>
    </w:p>
  </w:footnote>
  <w:footnote w:id="1">
    <w:p w14:paraId="1FE3A7F9"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The ACL is contained in Schedule 2 of the </w:t>
      </w:r>
      <w:r w:rsidRPr="001A7FB0">
        <w:rPr>
          <w:rFonts w:ascii="Arial" w:hAnsi="Arial"/>
          <w:i/>
          <w:sz w:val="16"/>
          <w:szCs w:val="16"/>
        </w:rPr>
        <w:t xml:space="preserve">Competition and Consumer Act </w:t>
      </w:r>
      <w:r w:rsidRPr="001A7FB0">
        <w:rPr>
          <w:rFonts w:ascii="Arial" w:hAnsi="Arial"/>
          <w:sz w:val="16"/>
          <w:szCs w:val="16"/>
        </w:rPr>
        <w:t>2010 (</w:t>
      </w:r>
      <w:proofErr w:type="spellStart"/>
      <w:r w:rsidRPr="001A7FB0">
        <w:rPr>
          <w:rFonts w:ascii="Arial" w:hAnsi="Arial"/>
          <w:sz w:val="16"/>
          <w:szCs w:val="16"/>
        </w:rPr>
        <w:t>Cth</w:t>
      </w:r>
      <w:proofErr w:type="spellEnd"/>
      <w:r w:rsidRPr="001A7FB0">
        <w:rPr>
          <w:rFonts w:ascii="Arial" w:hAnsi="Arial"/>
          <w:sz w:val="16"/>
          <w:szCs w:val="16"/>
        </w:rPr>
        <w:t>)</w:t>
      </w:r>
    </w:p>
  </w:footnote>
  <w:footnote w:id="2">
    <w:p w14:paraId="7BAFB872"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Paterson J, </w:t>
      </w:r>
      <w:r w:rsidRPr="001A7FB0">
        <w:rPr>
          <w:rFonts w:ascii="Arial" w:hAnsi="Arial"/>
          <w:i/>
          <w:sz w:val="16"/>
          <w:szCs w:val="16"/>
        </w:rPr>
        <w:t>Unfair Contract Terms in Australia</w:t>
      </w:r>
      <w:r w:rsidRPr="001A7FB0">
        <w:rPr>
          <w:rFonts w:ascii="Arial" w:hAnsi="Arial"/>
          <w:sz w:val="16"/>
          <w:szCs w:val="16"/>
        </w:rPr>
        <w:t>, (Lawbook Co. 2012), 1.</w:t>
      </w:r>
    </w:p>
  </w:footnote>
  <w:footnote w:id="3">
    <w:p w14:paraId="1F43E813"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Subject to requirements such as legality and certainty.</w:t>
      </w:r>
    </w:p>
  </w:footnote>
  <w:footnote w:id="4">
    <w:p w14:paraId="0B2AE1B8"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Biotechnology Australia Pty Ltd v Pace</w:t>
      </w:r>
      <w:r w:rsidRPr="001A7FB0">
        <w:rPr>
          <w:rFonts w:ascii="Arial" w:hAnsi="Arial"/>
          <w:sz w:val="16"/>
          <w:szCs w:val="16"/>
        </w:rPr>
        <w:t xml:space="preserve"> (1988) 15 NSWLR 130 at 132-133.</w:t>
      </w:r>
    </w:p>
  </w:footnote>
  <w:footnote w:id="5">
    <w:p w14:paraId="072207E5"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Productivity Commission, </w:t>
      </w:r>
      <w:r w:rsidRPr="001A7FB0">
        <w:rPr>
          <w:rFonts w:ascii="Arial" w:hAnsi="Arial"/>
          <w:i/>
          <w:sz w:val="16"/>
          <w:szCs w:val="16"/>
        </w:rPr>
        <w:t xml:space="preserve">Review of Australia’s Consumer Policy Framework, Volume 2, </w:t>
      </w:r>
      <w:r w:rsidRPr="001A7FB0">
        <w:rPr>
          <w:rFonts w:ascii="Arial" w:hAnsi="Arial"/>
          <w:sz w:val="16"/>
          <w:szCs w:val="16"/>
        </w:rPr>
        <w:t>Inquiry Report No 45 (2008)</w:t>
      </w:r>
    </w:p>
  </w:footnote>
  <w:footnote w:id="6">
    <w:p w14:paraId="3F958A93"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Ibid, 413 and 422.</w:t>
      </w:r>
    </w:p>
  </w:footnote>
  <w:footnote w:id="7">
    <w:p w14:paraId="66F1ED96"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Paterson J, </w:t>
      </w:r>
      <w:r w:rsidRPr="001A7FB0">
        <w:rPr>
          <w:rFonts w:ascii="Arial" w:hAnsi="Arial"/>
          <w:i/>
          <w:sz w:val="16"/>
          <w:szCs w:val="16"/>
        </w:rPr>
        <w:t>Unfair Contract Terms in Australia</w:t>
      </w:r>
      <w:r w:rsidRPr="001A7FB0">
        <w:rPr>
          <w:rFonts w:ascii="Arial" w:hAnsi="Arial"/>
          <w:sz w:val="16"/>
          <w:szCs w:val="16"/>
        </w:rPr>
        <w:t>, (Lawbook Co. 2012), 4.</w:t>
      </w:r>
    </w:p>
  </w:footnote>
  <w:footnote w:id="8">
    <w:p w14:paraId="6A347891"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Ibid, 5; </w:t>
      </w:r>
      <w:r w:rsidRPr="001A7FB0">
        <w:rPr>
          <w:rFonts w:ascii="Arial" w:hAnsi="Arial"/>
          <w:i/>
          <w:sz w:val="16"/>
          <w:szCs w:val="16"/>
        </w:rPr>
        <w:t>Australian Competition and Consumer Commission v CLA Trading Pty Ltd</w:t>
      </w:r>
      <w:r w:rsidRPr="001A7FB0">
        <w:rPr>
          <w:rFonts w:ascii="Arial" w:hAnsi="Arial"/>
          <w:sz w:val="16"/>
          <w:szCs w:val="16"/>
        </w:rPr>
        <w:t xml:space="preserve"> [2016] FCA 337 at [48].</w:t>
      </w:r>
    </w:p>
  </w:footnote>
  <w:footnote w:id="9">
    <w:p w14:paraId="7A025426"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Paterson J, </w:t>
      </w:r>
      <w:r w:rsidRPr="001A7FB0">
        <w:rPr>
          <w:rFonts w:ascii="Arial" w:hAnsi="Arial"/>
          <w:i/>
          <w:sz w:val="16"/>
          <w:szCs w:val="16"/>
        </w:rPr>
        <w:t>Unfair Contract Terms in Australia</w:t>
      </w:r>
      <w:r w:rsidRPr="001A7FB0">
        <w:rPr>
          <w:rFonts w:ascii="Arial" w:hAnsi="Arial"/>
          <w:sz w:val="16"/>
          <w:szCs w:val="16"/>
        </w:rPr>
        <w:t>, (Lawbook Co. 2012), 7-9.</w:t>
      </w:r>
    </w:p>
  </w:footnote>
  <w:footnote w:id="10">
    <w:p w14:paraId="46633136"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B Billson (Minister for Small Business), </w:t>
      </w:r>
      <w:r w:rsidRPr="001A7FB0">
        <w:rPr>
          <w:rFonts w:ascii="Arial" w:hAnsi="Arial"/>
          <w:i/>
          <w:sz w:val="16"/>
          <w:szCs w:val="16"/>
        </w:rPr>
        <w:t>Address to the Australian Food and Grocery Council Industry Leaders Forum</w:t>
      </w:r>
      <w:r w:rsidRPr="001A7FB0">
        <w:rPr>
          <w:rFonts w:ascii="Arial" w:hAnsi="Arial"/>
          <w:sz w:val="16"/>
          <w:szCs w:val="16"/>
        </w:rPr>
        <w:t xml:space="preserve">, speech, Canberra 30 October 2013, accessed 15 February 2016; </w:t>
      </w:r>
      <w:r w:rsidRPr="001A7FB0">
        <w:rPr>
          <w:rFonts w:ascii="Arial" w:hAnsi="Arial"/>
          <w:i/>
          <w:sz w:val="16"/>
          <w:szCs w:val="16"/>
        </w:rPr>
        <w:t>Treasury Legislation Amendment (Small Business and Unfair Contract Terms) Bill</w:t>
      </w:r>
      <w:r w:rsidRPr="001A7FB0">
        <w:rPr>
          <w:rFonts w:ascii="Arial" w:hAnsi="Arial"/>
          <w:sz w:val="16"/>
          <w:szCs w:val="16"/>
        </w:rPr>
        <w:t>, Explanatory Memorandum, 7.</w:t>
      </w:r>
    </w:p>
  </w:footnote>
  <w:footnote w:id="11">
    <w:p w14:paraId="6663C4C0"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23(1); ASIC Act s 12</w:t>
      </w:r>
      <w:proofErr w:type="gramStart"/>
      <w:r w:rsidRPr="001A7FB0">
        <w:rPr>
          <w:rFonts w:ascii="Arial" w:hAnsi="Arial"/>
          <w:sz w:val="16"/>
          <w:szCs w:val="16"/>
        </w:rPr>
        <w:t>BF(</w:t>
      </w:r>
      <w:proofErr w:type="gramEnd"/>
      <w:r w:rsidRPr="001A7FB0">
        <w:rPr>
          <w:rFonts w:ascii="Arial" w:hAnsi="Arial"/>
          <w:sz w:val="16"/>
          <w:szCs w:val="16"/>
        </w:rPr>
        <w:t>1).</w:t>
      </w:r>
    </w:p>
  </w:footnote>
  <w:footnote w:id="12">
    <w:p w14:paraId="1C7FD551"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23(2); ASIC Act s 12</w:t>
      </w:r>
      <w:proofErr w:type="gramStart"/>
      <w:r w:rsidRPr="001A7FB0">
        <w:rPr>
          <w:rFonts w:ascii="Arial" w:hAnsi="Arial"/>
          <w:sz w:val="16"/>
          <w:szCs w:val="16"/>
        </w:rPr>
        <w:t>BF(</w:t>
      </w:r>
      <w:proofErr w:type="gramEnd"/>
      <w:r w:rsidRPr="001A7FB0">
        <w:rPr>
          <w:rFonts w:ascii="Arial" w:hAnsi="Arial"/>
          <w:sz w:val="16"/>
          <w:szCs w:val="16"/>
        </w:rPr>
        <w:t>2).</w:t>
      </w:r>
    </w:p>
  </w:footnote>
  <w:footnote w:id="13">
    <w:p w14:paraId="07F6E50D" w14:textId="7D287793" w:rsidR="00622CA5" w:rsidRPr="00A06B7C" w:rsidRDefault="00622CA5" w:rsidP="00A90326">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t>Amendment Act, Schedule 2, item 1.</w:t>
      </w:r>
    </w:p>
  </w:footnote>
  <w:footnote w:id="14">
    <w:p w14:paraId="7AB483CE" w14:textId="3B7D214A" w:rsidR="00A90326" w:rsidRPr="00A06B7C" w:rsidRDefault="00A90326" w:rsidP="00A90326">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t>I</w:t>
      </w:r>
      <w:r w:rsidRPr="00A06B7C">
        <w:rPr>
          <w:rFonts w:ascii="Arial" w:hAnsi="Arial" w:cs="Arial"/>
          <w:sz w:val="16"/>
          <w:szCs w:val="16"/>
        </w:rPr>
        <w:t>bid</w:t>
      </w:r>
      <w:r>
        <w:rPr>
          <w:rFonts w:ascii="Arial" w:hAnsi="Arial" w:cs="Arial"/>
          <w:sz w:val="16"/>
          <w:szCs w:val="16"/>
        </w:rPr>
        <w:t>.</w:t>
      </w:r>
    </w:p>
  </w:footnote>
  <w:footnote w:id="15">
    <w:p w14:paraId="6F27368D"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23(3); ASIC Act s 12</w:t>
      </w:r>
      <w:proofErr w:type="gramStart"/>
      <w:r w:rsidRPr="001A7FB0">
        <w:rPr>
          <w:rFonts w:ascii="Arial" w:hAnsi="Arial"/>
          <w:sz w:val="16"/>
          <w:szCs w:val="16"/>
        </w:rPr>
        <w:t>BF(</w:t>
      </w:r>
      <w:proofErr w:type="gramEnd"/>
      <w:r w:rsidRPr="001A7FB0">
        <w:rPr>
          <w:rFonts w:ascii="Arial" w:hAnsi="Arial"/>
          <w:sz w:val="16"/>
          <w:szCs w:val="16"/>
        </w:rPr>
        <w:t>3).</w:t>
      </w:r>
    </w:p>
  </w:footnote>
  <w:footnote w:id="16">
    <w:p w14:paraId="4E64ACEB" w14:textId="77777777" w:rsidR="00273B48" w:rsidRPr="00001329" w:rsidRDefault="00273B48" w:rsidP="00635C2B">
      <w:pPr>
        <w:pStyle w:val="FootnoteText"/>
        <w:ind w:left="284" w:hanging="284"/>
        <w:rPr>
          <w:rFonts w:ascii="Arial" w:hAnsi="Arial" w:cs="Arial"/>
          <w:sz w:val="16"/>
          <w:szCs w:val="16"/>
        </w:rPr>
      </w:pPr>
      <w:r w:rsidRPr="00190B41">
        <w:rPr>
          <w:rStyle w:val="FootnoteReference"/>
          <w:rFonts w:ascii="Arial" w:hAnsi="Arial" w:cs="Arial"/>
          <w:sz w:val="16"/>
          <w:szCs w:val="16"/>
        </w:rPr>
        <w:footnoteRef/>
      </w:r>
      <w:r w:rsidRPr="00190B41">
        <w:rPr>
          <w:rFonts w:ascii="Arial" w:hAnsi="Arial" w:cs="Arial"/>
          <w:sz w:val="16"/>
          <w:szCs w:val="16"/>
        </w:rPr>
        <w:t xml:space="preserve"> </w:t>
      </w:r>
      <w:r w:rsidRPr="00001329">
        <w:rPr>
          <w:rFonts w:ascii="Arial" w:hAnsi="Arial" w:cs="Arial"/>
        </w:rPr>
        <w:tab/>
      </w:r>
      <w:r w:rsidRPr="00001329">
        <w:rPr>
          <w:rFonts w:ascii="Arial" w:hAnsi="Arial" w:cs="Arial"/>
          <w:sz w:val="16"/>
          <w:szCs w:val="16"/>
        </w:rPr>
        <w:t>ACL</w:t>
      </w:r>
      <w:r>
        <w:rPr>
          <w:rFonts w:ascii="Arial" w:hAnsi="Arial" w:cs="Arial"/>
          <w:sz w:val="16"/>
          <w:szCs w:val="16"/>
        </w:rPr>
        <w:t xml:space="preserve"> s 23(4); ASIC Act s 12</w:t>
      </w:r>
      <w:proofErr w:type="gramStart"/>
      <w:r>
        <w:rPr>
          <w:rFonts w:ascii="Arial" w:hAnsi="Arial" w:cs="Arial"/>
          <w:sz w:val="16"/>
          <w:szCs w:val="16"/>
        </w:rPr>
        <w:t>BF(</w:t>
      </w:r>
      <w:proofErr w:type="gramEnd"/>
      <w:r>
        <w:rPr>
          <w:rFonts w:ascii="Arial" w:hAnsi="Arial" w:cs="Arial"/>
          <w:sz w:val="16"/>
          <w:szCs w:val="16"/>
        </w:rPr>
        <w:t>4).  In counting the persons employed by a business for the purpose of the provisions, a casual employee is not to be counted unless he or she is employed by the business on a regular and systematic basis.  ACL 23(5) and ASIC Act s 12</w:t>
      </w:r>
      <w:proofErr w:type="gramStart"/>
      <w:r>
        <w:rPr>
          <w:rFonts w:ascii="Arial" w:hAnsi="Arial" w:cs="Arial"/>
          <w:sz w:val="16"/>
          <w:szCs w:val="16"/>
        </w:rPr>
        <w:t>BF(</w:t>
      </w:r>
      <w:proofErr w:type="gramEnd"/>
      <w:r>
        <w:rPr>
          <w:rFonts w:ascii="Arial" w:hAnsi="Arial" w:cs="Arial"/>
          <w:sz w:val="16"/>
          <w:szCs w:val="16"/>
        </w:rPr>
        <w:t>5).</w:t>
      </w:r>
    </w:p>
  </w:footnote>
  <w:footnote w:id="17">
    <w:p w14:paraId="074A8A37"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24(1); ASIC Act s 12</w:t>
      </w:r>
      <w:proofErr w:type="gramStart"/>
      <w:r w:rsidRPr="001A7FB0">
        <w:rPr>
          <w:rFonts w:ascii="Arial" w:hAnsi="Arial"/>
          <w:sz w:val="16"/>
          <w:szCs w:val="16"/>
        </w:rPr>
        <w:t>BG(</w:t>
      </w:r>
      <w:proofErr w:type="gramEnd"/>
      <w:r w:rsidRPr="001A7FB0">
        <w:rPr>
          <w:rFonts w:ascii="Arial" w:hAnsi="Arial"/>
          <w:sz w:val="16"/>
          <w:szCs w:val="16"/>
        </w:rPr>
        <w:t>1).</w:t>
      </w:r>
    </w:p>
  </w:footnote>
  <w:footnote w:id="18">
    <w:p w14:paraId="51A52776"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24(2); ASIC Act s 12</w:t>
      </w:r>
      <w:proofErr w:type="gramStart"/>
      <w:r w:rsidRPr="001A7FB0">
        <w:rPr>
          <w:rFonts w:ascii="Arial" w:hAnsi="Arial"/>
          <w:sz w:val="16"/>
          <w:szCs w:val="16"/>
        </w:rPr>
        <w:t>BG(</w:t>
      </w:r>
      <w:proofErr w:type="gramEnd"/>
      <w:r w:rsidRPr="001A7FB0">
        <w:rPr>
          <w:rFonts w:ascii="Arial" w:hAnsi="Arial"/>
          <w:sz w:val="16"/>
          <w:szCs w:val="16"/>
        </w:rPr>
        <w:t>2).</w:t>
      </w:r>
    </w:p>
  </w:footnote>
  <w:footnote w:id="19">
    <w:p w14:paraId="47E7BEA5"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24(3); ASIC Act s 12</w:t>
      </w:r>
      <w:proofErr w:type="gramStart"/>
      <w:r w:rsidRPr="001A7FB0">
        <w:rPr>
          <w:rFonts w:ascii="Arial" w:hAnsi="Arial"/>
          <w:sz w:val="16"/>
          <w:szCs w:val="16"/>
        </w:rPr>
        <w:t>BG(</w:t>
      </w:r>
      <w:proofErr w:type="gramEnd"/>
      <w:r w:rsidRPr="001A7FB0">
        <w:rPr>
          <w:rFonts w:ascii="Arial" w:hAnsi="Arial"/>
          <w:sz w:val="16"/>
          <w:szCs w:val="16"/>
        </w:rPr>
        <w:t>3).</w:t>
      </w:r>
    </w:p>
  </w:footnote>
  <w:footnote w:id="20">
    <w:p w14:paraId="2089A58C"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24(4); ASIC Act s 12</w:t>
      </w:r>
      <w:proofErr w:type="gramStart"/>
      <w:r w:rsidRPr="001A7FB0">
        <w:rPr>
          <w:rFonts w:ascii="Arial" w:hAnsi="Arial"/>
          <w:sz w:val="16"/>
          <w:szCs w:val="16"/>
        </w:rPr>
        <w:t>BG(</w:t>
      </w:r>
      <w:proofErr w:type="gramEnd"/>
      <w:r w:rsidRPr="001A7FB0">
        <w:rPr>
          <w:rFonts w:ascii="Arial" w:hAnsi="Arial"/>
          <w:sz w:val="16"/>
          <w:szCs w:val="16"/>
        </w:rPr>
        <w:t>4).</w:t>
      </w:r>
    </w:p>
  </w:footnote>
  <w:footnote w:id="21">
    <w:p w14:paraId="5BA0AB06"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26(1); ASIC Act s 12</w:t>
      </w:r>
      <w:proofErr w:type="gramStart"/>
      <w:r w:rsidRPr="001A7FB0">
        <w:rPr>
          <w:rFonts w:ascii="Arial" w:hAnsi="Arial"/>
          <w:sz w:val="16"/>
          <w:szCs w:val="16"/>
        </w:rPr>
        <w:t>BI(</w:t>
      </w:r>
      <w:proofErr w:type="gramEnd"/>
      <w:r w:rsidRPr="001A7FB0">
        <w:rPr>
          <w:rFonts w:ascii="Arial" w:hAnsi="Arial"/>
          <w:sz w:val="16"/>
          <w:szCs w:val="16"/>
        </w:rPr>
        <w:t>1).</w:t>
      </w:r>
    </w:p>
  </w:footnote>
  <w:footnote w:id="22">
    <w:p w14:paraId="3DCDE3BD"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ab/>
        <w:t>ACL s 26(2); ASIC Act s 12</w:t>
      </w:r>
      <w:proofErr w:type="gramStart"/>
      <w:r w:rsidRPr="001A7FB0">
        <w:rPr>
          <w:rFonts w:ascii="Arial" w:hAnsi="Arial"/>
          <w:sz w:val="16"/>
          <w:szCs w:val="16"/>
        </w:rPr>
        <w:t>BI(</w:t>
      </w:r>
      <w:proofErr w:type="gramEnd"/>
      <w:r w:rsidRPr="001A7FB0">
        <w:rPr>
          <w:rFonts w:ascii="Arial" w:hAnsi="Arial"/>
          <w:sz w:val="16"/>
          <w:szCs w:val="16"/>
        </w:rPr>
        <w:t>2).</w:t>
      </w:r>
    </w:p>
  </w:footnote>
  <w:footnote w:id="23">
    <w:p w14:paraId="1EA6AC58"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27(1); ASIC Act s 12</w:t>
      </w:r>
      <w:proofErr w:type="gramStart"/>
      <w:r w:rsidRPr="001A7FB0">
        <w:rPr>
          <w:rFonts w:ascii="Arial" w:hAnsi="Arial"/>
          <w:sz w:val="16"/>
          <w:szCs w:val="16"/>
        </w:rPr>
        <w:t>BK(</w:t>
      </w:r>
      <w:proofErr w:type="gramEnd"/>
      <w:r w:rsidRPr="001A7FB0">
        <w:rPr>
          <w:rFonts w:ascii="Arial" w:hAnsi="Arial"/>
          <w:sz w:val="16"/>
          <w:szCs w:val="16"/>
        </w:rPr>
        <w:t>1).</w:t>
      </w:r>
    </w:p>
  </w:footnote>
  <w:footnote w:id="24">
    <w:p w14:paraId="7B2E67E8"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27(1); ASIC Act s 12</w:t>
      </w:r>
      <w:proofErr w:type="gramStart"/>
      <w:r w:rsidRPr="001A7FB0">
        <w:rPr>
          <w:rFonts w:ascii="Arial" w:hAnsi="Arial"/>
          <w:sz w:val="16"/>
          <w:szCs w:val="16"/>
        </w:rPr>
        <w:t>BK(</w:t>
      </w:r>
      <w:proofErr w:type="gramEnd"/>
      <w:r w:rsidRPr="001A7FB0">
        <w:rPr>
          <w:rFonts w:ascii="Arial" w:hAnsi="Arial"/>
          <w:sz w:val="16"/>
          <w:szCs w:val="16"/>
        </w:rPr>
        <w:t>2).</w:t>
      </w:r>
    </w:p>
  </w:footnote>
  <w:footnote w:id="25">
    <w:p w14:paraId="3246D3B3" w14:textId="612BED41" w:rsidR="00FC6145" w:rsidRPr="00A06B7C" w:rsidRDefault="00FC6145"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Amendment Act items 41 and 42.</w:t>
      </w:r>
    </w:p>
  </w:footnote>
  <w:footnote w:id="26">
    <w:p w14:paraId="3E553B79"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25(1); ASIC Act s 12</w:t>
      </w:r>
      <w:proofErr w:type="gramStart"/>
      <w:r w:rsidRPr="001A7FB0">
        <w:rPr>
          <w:rFonts w:ascii="Arial" w:hAnsi="Arial"/>
          <w:sz w:val="16"/>
          <w:szCs w:val="16"/>
        </w:rPr>
        <w:t>BH(</w:t>
      </w:r>
      <w:proofErr w:type="gramEnd"/>
      <w:r w:rsidRPr="001A7FB0">
        <w:rPr>
          <w:rFonts w:ascii="Arial" w:hAnsi="Arial"/>
          <w:sz w:val="16"/>
          <w:szCs w:val="16"/>
        </w:rPr>
        <w:t>1). No further examples have been prescribed by regulation.</w:t>
      </w:r>
    </w:p>
  </w:footnote>
  <w:footnote w:id="27">
    <w:p w14:paraId="04A92112" w14:textId="24287CD4" w:rsidR="001225D6" w:rsidRPr="00A06B7C" w:rsidRDefault="001225D6" w:rsidP="00C371E9">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sidRPr="00A06B7C">
        <w:rPr>
          <w:rFonts w:ascii="Arial" w:hAnsi="Arial" w:cs="Arial"/>
          <w:sz w:val="16"/>
          <w:szCs w:val="16"/>
        </w:rPr>
        <w:tab/>
        <w:t>ACL s15 and ASIC Act s12BM.</w:t>
      </w:r>
      <w:r w:rsidR="00712C72">
        <w:rPr>
          <w:rFonts w:ascii="Arial" w:hAnsi="Arial" w:cs="Arial"/>
          <w:sz w:val="16"/>
          <w:szCs w:val="16"/>
        </w:rPr>
        <w:t xml:space="preserve">  See also ss 237(1)(a)(ii) and 250 of the ACL and s 137D of the </w:t>
      </w:r>
      <w:r w:rsidR="00712C72" w:rsidRPr="00A06B7C">
        <w:rPr>
          <w:rFonts w:ascii="Arial" w:hAnsi="Arial" w:cs="Arial"/>
          <w:i/>
          <w:iCs/>
          <w:sz w:val="16"/>
          <w:szCs w:val="16"/>
        </w:rPr>
        <w:t>Competition and Consumer Act 2010</w:t>
      </w:r>
      <w:r w:rsidR="00712C72">
        <w:rPr>
          <w:rFonts w:ascii="Arial" w:hAnsi="Arial" w:cs="Arial"/>
          <w:sz w:val="16"/>
          <w:szCs w:val="16"/>
        </w:rPr>
        <w:t>.</w:t>
      </w:r>
    </w:p>
  </w:footnote>
  <w:footnote w:id="28">
    <w:p w14:paraId="2FBAA130" w14:textId="4CF7828E" w:rsidR="00C371E9" w:rsidRPr="00A06B7C" w:rsidRDefault="00C371E9" w:rsidP="00C371E9">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r>
      <w:r w:rsidRPr="00C371E9">
        <w:rPr>
          <w:rFonts w:ascii="Arial" w:hAnsi="Arial" w:cs="Arial"/>
          <w:sz w:val="16"/>
          <w:szCs w:val="16"/>
        </w:rPr>
        <w:t xml:space="preserve">Amendment Act, Schedule 2, item </w:t>
      </w:r>
      <w:proofErr w:type="gramStart"/>
      <w:r w:rsidRPr="00C371E9">
        <w:rPr>
          <w:rFonts w:ascii="Arial" w:hAnsi="Arial" w:cs="Arial"/>
          <w:sz w:val="16"/>
          <w:szCs w:val="16"/>
        </w:rPr>
        <w:t>1</w:t>
      </w:r>
      <w:proofErr w:type="gramEnd"/>
      <w:r>
        <w:rPr>
          <w:rFonts w:ascii="Arial" w:hAnsi="Arial" w:cs="Arial"/>
          <w:sz w:val="16"/>
          <w:szCs w:val="16"/>
        </w:rPr>
        <w:t xml:space="preserve"> and item 11.  Item 11 amends s 224 of the ACL.</w:t>
      </w:r>
    </w:p>
  </w:footnote>
  <w:footnote w:id="29">
    <w:p w14:paraId="2550DFFD" w14:textId="476AC17D" w:rsidR="00C411C5" w:rsidRPr="00A06B7C" w:rsidRDefault="00C411C5"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r>
      <w:r w:rsidRPr="00C411C5">
        <w:rPr>
          <w:rFonts w:ascii="Arial" w:hAnsi="Arial" w:cs="Arial"/>
          <w:sz w:val="16"/>
          <w:szCs w:val="16"/>
        </w:rPr>
        <w:t>Amendment Act, Schedule 2, items 27 and 28.</w:t>
      </w:r>
    </w:p>
  </w:footnote>
  <w:footnote w:id="30">
    <w:p w14:paraId="32B07213" w14:textId="0FAFFC8F" w:rsidR="009D4F92" w:rsidRPr="00A06B7C" w:rsidRDefault="009D4F92"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r>
      <w:r w:rsidRPr="00A06B7C">
        <w:rPr>
          <w:rFonts w:ascii="Arial" w:hAnsi="Arial" w:cs="Arial"/>
          <w:sz w:val="16"/>
          <w:szCs w:val="16"/>
        </w:rPr>
        <w:t xml:space="preserve">Currently $1,110,000; </w:t>
      </w:r>
      <w:r w:rsidRPr="00A06B7C">
        <w:rPr>
          <w:rFonts w:ascii="Arial" w:hAnsi="Arial" w:cs="Arial"/>
          <w:i/>
          <w:iCs/>
          <w:sz w:val="16"/>
          <w:szCs w:val="16"/>
        </w:rPr>
        <w:t>Crimes Act 1914</w:t>
      </w:r>
      <w:r w:rsidRPr="00A06B7C">
        <w:rPr>
          <w:rFonts w:ascii="Arial" w:hAnsi="Arial" w:cs="Arial"/>
          <w:sz w:val="16"/>
          <w:szCs w:val="16"/>
        </w:rPr>
        <w:t xml:space="preserve"> section 4AA and the </w:t>
      </w:r>
      <w:r w:rsidRPr="00A06B7C">
        <w:rPr>
          <w:rFonts w:ascii="Arial" w:hAnsi="Arial" w:cs="Arial"/>
          <w:i/>
          <w:iCs/>
          <w:sz w:val="16"/>
          <w:szCs w:val="16"/>
        </w:rPr>
        <w:t>Notice of Indexation of the Penalty Unit Amount</w:t>
      </w:r>
      <w:r w:rsidRPr="00A06B7C">
        <w:rPr>
          <w:rFonts w:ascii="Arial" w:hAnsi="Arial" w:cs="Arial"/>
          <w:sz w:val="16"/>
          <w:szCs w:val="16"/>
        </w:rPr>
        <w:t xml:space="preserve"> which sets th</w:t>
      </w:r>
      <w:r w:rsidR="00F577B9">
        <w:rPr>
          <w:rFonts w:ascii="Arial" w:hAnsi="Arial" w:cs="Arial"/>
          <w:sz w:val="16"/>
          <w:szCs w:val="16"/>
        </w:rPr>
        <w:t xml:space="preserve">e </w:t>
      </w:r>
      <w:r w:rsidRPr="00A06B7C">
        <w:rPr>
          <w:rFonts w:ascii="Arial" w:hAnsi="Arial" w:cs="Arial"/>
          <w:sz w:val="16"/>
          <w:szCs w:val="16"/>
        </w:rPr>
        <w:t>current value of a penalty unit at $222.</w:t>
      </w:r>
    </w:p>
  </w:footnote>
  <w:footnote w:id="31">
    <w:p w14:paraId="4123A545" w14:textId="4AB5E168" w:rsidR="00E30A60" w:rsidRPr="00A06B7C" w:rsidRDefault="00E30A60"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r>
      <w:r w:rsidR="007E0315">
        <w:rPr>
          <w:rFonts w:ascii="Arial" w:hAnsi="Arial" w:cs="Arial"/>
          <w:sz w:val="16"/>
          <w:szCs w:val="16"/>
        </w:rPr>
        <w:t>ASIC Act s 12GBCA.</w:t>
      </w:r>
    </w:p>
  </w:footnote>
  <w:footnote w:id="32">
    <w:p w14:paraId="3F4DE240" w14:textId="77777777" w:rsidR="00273B48" w:rsidRPr="001A7FB0" w:rsidRDefault="00273B48" w:rsidP="00DB3D8D">
      <w:pPr>
        <w:widowControl w:val="0"/>
        <w:autoSpaceDE w:val="0"/>
        <w:autoSpaceDN w:val="0"/>
        <w:adjustRightInd w:val="0"/>
        <w:ind w:left="284" w:hanging="284"/>
        <w:rPr>
          <w:rFonts w:ascii="Arial" w:hAnsi="Arial" w:cs="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09100B">
        <w:rPr>
          <w:rFonts w:ascii="Arial" w:hAnsi="Arial" w:cs="Arial"/>
          <w:sz w:val="16"/>
          <w:szCs w:val="16"/>
        </w:rPr>
        <w:t>Section 3 provides that a </w:t>
      </w:r>
      <w:r w:rsidRPr="0009100B">
        <w:rPr>
          <w:rFonts w:ascii="Arial" w:hAnsi="Arial" w:cs="Arial"/>
          <w:sz w:val="16"/>
          <w:szCs w:val="16"/>
          <w:u w:color="0000F6"/>
        </w:rPr>
        <w:t>person</w:t>
      </w:r>
      <w:r w:rsidRPr="004A0295">
        <w:rPr>
          <w:rFonts w:ascii="Arial" w:hAnsi="Arial" w:cs="Arial"/>
          <w:sz w:val="16"/>
          <w:szCs w:val="16"/>
        </w:rPr>
        <w:t xml:space="preserve"> is taken to have </w:t>
      </w:r>
      <w:r w:rsidRPr="00907DF5">
        <w:rPr>
          <w:rFonts w:ascii="Arial" w:hAnsi="Arial" w:cs="Arial"/>
          <w:sz w:val="16"/>
          <w:szCs w:val="16"/>
          <w:u w:color="0000F6"/>
        </w:rPr>
        <w:t>acquired</w:t>
      </w:r>
      <w:r w:rsidRPr="00907DF5">
        <w:rPr>
          <w:rFonts w:ascii="Arial" w:hAnsi="Arial" w:cs="Arial"/>
          <w:sz w:val="16"/>
          <w:szCs w:val="16"/>
        </w:rPr>
        <w:t xml:space="preserve"> </w:t>
      </w:r>
      <w:proofErr w:type="gramStart"/>
      <w:r w:rsidRPr="00907DF5">
        <w:rPr>
          <w:rFonts w:ascii="Arial" w:hAnsi="Arial" w:cs="Arial"/>
          <w:sz w:val="16"/>
          <w:szCs w:val="16"/>
        </w:rPr>
        <w:t xml:space="preserve">particular </w:t>
      </w:r>
      <w:r w:rsidRPr="001A7FB0">
        <w:rPr>
          <w:rFonts w:ascii="Arial" w:hAnsi="Arial" w:cs="Arial"/>
          <w:sz w:val="16"/>
          <w:szCs w:val="16"/>
          <w:u w:color="0000F6"/>
        </w:rPr>
        <w:t>goods</w:t>
      </w:r>
      <w:proofErr w:type="gramEnd"/>
      <w:r w:rsidRPr="001A7FB0">
        <w:rPr>
          <w:rFonts w:ascii="Arial" w:hAnsi="Arial" w:cs="Arial"/>
          <w:sz w:val="16"/>
          <w:szCs w:val="16"/>
        </w:rPr>
        <w:t xml:space="preserve"> as a </w:t>
      </w:r>
      <w:r w:rsidRPr="001A7FB0">
        <w:rPr>
          <w:rFonts w:ascii="Arial" w:hAnsi="Arial" w:cs="Arial"/>
          <w:b/>
          <w:bCs/>
          <w:i/>
          <w:iCs/>
          <w:sz w:val="16"/>
          <w:szCs w:val="16"/>
          <w:u w:color="0000F6"/>
        </w:rPr>
        <w:t>consumer</w:t>
      </w:r>
      <w:r w:rsidRPr="001A7FB0">
        <w:rPr>
          <w:rFonts w:ascii="Arial" w:hAnsi="Arial" w:cs="Arial"/>
          <w:b/>
          <w:bCs/>
          <w:i/>
          <w:iCs/>
          <w:sz w:val="16"/>
          <w:szCs w:val="16"/>
        </w:rPr>
        <w:t xml:space="preserve"> </w:t>
      </w:r>
      <w:r w:rsidRPr="001A7FB0">
        <w:rPr>
          <w:rFonts w:ascii="Arial" w:hAnsi="Arial" w:cs="Arial"/>
          <w:sz w:val="16"/>
          <w:szCs w:val="16"/>
        </w:rPr>
        <w:t xml:space="preserve">if the amount paid or payable for the </w:t>
      </w:r>
      <w:r w:rsidRPr="001A7FB0">
        <w:rPr>
          <w:rFonts w:ascii="Arial" w:hAnsi="Arial" w:cs="Arial"/>
          <w:sz w:val="16"/>
          <w:szCs w:val="16"/>
          <w:u w:color="0000F6"/>
        </w:rPr>
        <w:t>goods</w:t>
      </w:r>
      <w:r w:rsidRPr="001A7FB0">
        <w:rPr>
          <w:rFonts w:ascii="Arial" w:hAnsi="Arial" w:cs="Arial"/>
          <w:sz w:val="16"/>
          <w:szCs w:val="16"/>
        </w:rPr>
        <w:t xml:space="preserve"> did not exceed $40,000 or the </w:t>
      </w:r>
      <w:r w:rsidRPr="001A7FB0">
        <w:rPr>
          <w:rFonts w:ascii="Arial" w:hAnsi="Arial" w:cs="Arial"/>
          <w:sz w:val="16"/>
          <w:szCs w:val="16"/>
          <w:u w:color="0000F6"/>
        </w:rPr>
        <w:t>goods</w:t>
      </w:r>
      <w:r w:rsidRPr="001A7FB0">
        <w:rPr>
          <w:rFonts w:ascii="Arial" w:hAnsi="Arial" w:cs="Arial"/>
          <w:sz w:val="16"/>
          <w:szCs w:val="16"/>
        </w:rPr>
        <w:t xml:space="preserve"> were of a kind ordinarily </w:t>
      </w:r>
      <w:r w:rsidRPr="001A7FB0">
        <w:rPr>
          <w:rFonts w:ascii="Arial" w:hAnsi="Arial" w:cs="Arial"/>
          <w:sz w:val="16"/>
          <w:szCs w:val="16"/>
          <w:u w:color="0000F6"/>
        </w:rPr>
        <w:t>acquired</w:t>
      </w:r>
      <w:r w:rsidRPr="001A7FB0">
        <w:rPr>
          <w:rFonts w:ascii="Arial" w:hAnsi="Arial" w:cs="Arial"/>
          <w:sz w:val="16"/>
          <w:szCs w:val="16"/>
        </w:rPr>
        <w:t xml:space="preserve"> for </w:t>
      </w:r>
      <w:r w:rsidRPr="001A7FB0">
        <w:rPr>
          <w:rFonts w:ascii="Arial" w:hAnsi="Arial" w:cs="Arial"/>
          <w:sz w:val="16"/>
          <w:szCs w:val="16"/>
          <w:u w:color="0000F6"/>
        </w:rPr>
        <w:t>personal</w:t>
      </w:r>
      <w:r w:rsidRPr="001A7FB0">
        <w:rPr>
          <w:rFonts w:ascii="Arial" w:hAnsi="Arial" w:cs="Arial"/>
          <w:sz w:val="16"/>
          <w:szCs w:val="16"/>
        </w:rPr>
        <w:t xml:space="preserve">, domestic or household use or consumption; or the </w:t>
      </w:r>
      <w:r w:rsidRPr="001A7FB0">
        <w:rPr>
          <w:rFonts w:ascii="Arial" w:hAnsi="Arial" w:cs="Arial"/>
          <w:sz w:val="16"/>
          <w:szCs w:val="16"/>
          <w:u w:color="0000F6"/>
        </w:rPr>
        <w:t>goods</w:t>
      </w:r>
      <w:r w:rsidRPr="001A7FB0">
        <w:rPr>
          <w:rFonts w:ascii="Arial" w:hAnsi="Arial" w:cs="Arial"/>
          <w:sz w:val="16"/>
          <w:szCs w:val="16"/>
        </w:rPr>
        <w:t xml:space="preserve"> consisted of a vehicle or trailer </w:t>
      </w:r>
      <w:r w:rsidRPr="001A7FB0">
        <w:rPr>
          <w:rFonts w:ascii="Arial" w:hAnsi="Arial" w:cs="Arial"/>
          <w:sz w:val="16"/>
          <w:szCs w:val="16"/>
          <w:u w:color="0000F6"/>
        </w:rPr>
        <w:t>acquired</w:t>
      </w:r>
      <w:r w:rsidRPr="001A7FB0">
        <w:rPr>
          <w:rFonts w:ascii="Arial" w:hAnsi="Arial" w:cs="Arial"/>
          <w:sz w:val="16"/>
          <w:szCs w:val="16"/>
        </w:rPr>
        <w:t xml:space="preserve"> for use principally in the transport of </w:t>
      </w:r>
      <w:r w:rsidRPr="001A7FB0">
        <w:rPr>
          <w:rFonts w:ascii="Arial" w:hAnsi="Arial" w:cs="Arial"/>
          <w:sz w:val="16"/>
          <w:szCs w:val="16"/>
          <w:u w:color="0000F6"/>
        </w:rPr>
        <w:t>goods</w:t>
      </w:r>
      <w:r w:rsidRPr="001A7FB0">
        <w:rPr>
          <w:rFonts w:ascii="Arial" w:hAnsi="Arial" w:cs="Arial"/>
          <w:sz w:val="16"/>
          <w:szCs w:val="16"/>
        </w:rPr>
        <w:t xml:space="preserve"> on public roads.</w:t>
      </w:r>
      <w:r>
        <w:rPr>
          <w:rFonts w:ascii="Arial" w:hAnsi="Arial" w:cs="Arial"/>
          <w:sz w:val="16"/>
          <w:szCs w:val="16"/>
        </w:rPr>
        <w:t xml:space="preserve"> Note that from 1 July 2021 the threshold amount for determining who is a consumer has been increased to $100,000 (see </w:t>
      </w:r>
      <w:r w:rsidRPr="0079394E">
        <w:rPr>
          <w:rFonts w:ascii="Arial" w:hAnsi="Arial" w:cs="Arial"/>
          <w:i/>
          <w:sz w:val="16"/>
          <w:szCs w:val="16"/>
        </w:rPr>
        <w:t>Treasury Laws Amendment (Acquisition as Consumer – Financial Thresholds) Regulations 2020</w:t>
      </w:r>
      <w:r>
        <w:rPr>
          <w:rFonts w:ascii="Arial" w:hAnsi="Arial" w:cs="Arial"/>
          <w:sz w:val="16"/>
          <w:szCs w:val="16"/>
        </w:rPr>
        <w:t>)</w:t>
      </w:r>
    </w:p>
  </w:footnote>
  <w:footnote w:id="33">
    <w:p w14:paraId="29ED8313"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Associate Professor at the University of Melbourne Law School.</w:t>
      </w:r>
    </w:p>
  </w:footnote>
  <w:footnote w:id="34">
    <w:p w14:paraId="17CA30DE"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Paterson J, </w:t>
      </w:r>
      <w:r w:rsidRPr="001A7FB0">
        <w:rPr>
          <w:rFonts w:ascii="Arial" w:hAnsi="Arial"/>
          <w:i/>
          <w:sz w:val="16"/>
          <w:szCs w:val="16"/>
        </w:rPr>
        <w:t>Unfair Contract Terms in Australia</w:t>
      </w:r>
      <w:r w:rsidRPr="001A7FB0">
        <w:rPr>
          <w:rFonts w:ascii="Arial" w:hAnsi="Arial"/>
          <w:sz w:val="16"/>
          <w:szCs w:val="16"/>
        </w:rPr>
        <w:t>, (Lawbook Co. 2012), 56.</w:t>
      </w:r>
    </w:p>
  </w:footnote>
  <w:footnote w:id="35">
    <w:p w14:paraId="42C17AA2"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Ibid, 57; </w:t>
      </w:r>
      <w:r w:rsidRPr="001A7FB0">
        <w:rPr>
          <w:rFonts w:ascii="Arial" w:hAnsi="Arial"/>
          <w:i/>
          <w:sz w:val="16"/>
          <w:szCs w:val="16"/>
        </w:rPr>
        <w:t xml:space="preserve">Jetstar Airways Pty Ltd v Free </w:t>
      </w:r>
      <w:r w:rsidRPr="001A7FB0">
        <w:rPr>
          <w:rFonts w:ascii="Arial" w:hAnsi="Arial"/>
          <w:sz w:val="16"/>
          <w:szCs w:val="16"/>
        </w:rPr>
        <w:t xml:space="preserve">[2008] VSC 539 at [119]; </w:t>
      </w:r>
      <w:r w:rsidRPr="001A7FB0">
        <w:rPr>
          <w:rFonts w:ascii="Arial" w:hAnsi="Arial"/>
          <w:i/>
          <w:sz w:val="16"/>
          <w:szCs w:val="16"/>
        </w:rPr>
        <w:t xml:space="preserve">Director General of </w:t>
      </w:r>
      <w:proofErr w:type="gramStart"/>
      <w:r w:rsidRPr="001A7FB0">
        <w:rPr>
          <w:rFonts w:ascii="Arial" w:hAnsi="Arial"/>
          <w:i/>
          <w:sz w:val="16"/>
          <w:szCs w:val="16"/>
        </w:rPr>
        <w:t>Fair Trading</w:t>
      </w:r>
      <w:proofErr w:type="gramEnd"/>
      <w:r w:rsidRPr="001A7FB0">
        <w:rPr>
          <w:rFonts w:ascii="Arial" w:hAnsi="Arial"/>
          <w:i/>
          <w:sz w:val="16"/>
          <w:szCs w:val="16"/>
        </w:rPr>
        <w:t xml:space="preserve"> v First National Bank</w:t>
      </w:r>
      <w:r w:rsidRPr="001A7FB0">
        <w:rPr>
          <w:rFonts w:ascii="Arial" w:hAnsi="Arial"/>
          <w:sz w:val="16"/>
          <w:szCs w:val="16"/>
        </w:rPr>
        <w:t xml:space="preserve"> [2002] 1 ALL ER 97 at [13].</w:t>
      </w:r>
    </w:p>
  </w:footnote>
  <w:footnote w:id="36">
    <w:p w14:paraId="138A655B"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Australian Securities and Investments Commission Regulations 2001</w:t>
      </w:r>
      <w:r w:rsidRPr="001A7FB0">
        <w:rPr>
          <w:rFonts w:ascii="Arial" w:hAnsi="Arial"/>
          <w:sz w:val="16"/>
          <w:szCs w:val="16"/>
        </w:rPr>
        <w:t xml:space="preserve">, reg 2B(g) and (h); Paterson J, </w:t>
      </w:r>
      <w:r w:rsidRPr="001A7FB0">
        <w:rPr>
          <w:rFonts w:ascii="Arial" w:hAnsi="Arial"/>
          <w:i/>
          <w:sz w:val="16"/>
          <w:szCs w:val="16"/>
        </w:rPr>
        <w:t>Unfair Contract Terms in Australia</w:t>
      </w:r>
      <w:r w:rsidRPr="001A7FB0">
        <w:rPr>
          <w:rFonts w:ascii="Arial" w:hAnsi="Arial"/>
          <w:sz w:val="16"/>
          <w:szCs w:val="16"/>
        </w:rPr>
        <w:t xml:space="preserve">, (Lawbook Co. 2012) p 52.  See also </w:t>
      </w:r>
      <w:r w:rsidRPr="001A7FB0">
        <w:rPr>
          <w:rFonts w:ascii="Arial" w:hAnsi="Arial"/>
          <w:i/>
          <w:sz w:val="16"/>
          <w:szCs w:val="16"/>
        </w:rPr>
        <w:t>Australian Competition and Consumer Commission v CLA Trading Pty Ltd</w:t>
      </w:r>
      <w:r w:rsidRPr="001A7FB0">
        <w:rPr>
          <w:rFonts w:ascii="Arial" w:hAnsi="Arial"/>
          <w:sz w:val="16"/>
          <w:szCs w:val="16"/>
        </w:rPr>
        <w:t xml:space="preserve"> [2016] FCA 337 at [12] - [35].</w:t>
      </w:r>
    </w:p>
  </w:footnote>
  <w:footnote w:id="37">
    <w:p w14:paraId="3F5F18FE"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Explanatory Memorandum, Trade Practices Amendment (Australian Consumer Law) Bill</w:t>
      </w:r>
      <w:r w:rsidRPr="001A7FB0">
        <w:rPr>
          <w:rFonts w:ascii="Arial" w:hAnsi="Arial"/>
          <w:sz w:val="16"/>
          <w:szCs w:val="16"/>
        </w:rPr>
        <w:t xml:space="preserve"> (No 2) 2010 (</w:t>
      </w:r>
      <w:proofErr w:type="spellStart"/>
      <w:r w:rsidRPr="001A7FB0">
        <w:rPr>
          <w:rFonts w:ascii="Arial" w:hAnsi="Arial"/>
          <w:sz w:val="16"/>
          <w:szCs w:val="16"/>
        </w:rPr>
        <w:t>Cth</w:t>
      </w:r>
      <w:proofErr w:type="spellEnd"/>
      <w:r w:rsidRPr="001A7FB0">
        <w:rPr>
          <w:rFonts w:ascii="Arial" w:hAnsi="Arial"/>
          <w:sz w:val="16"/>
          <w:szCs w:val="16"/>
        </w:rPr>
        <w:t>) 5.73.</w:t>
      </w:r>
    </w:p>
  </w:footnote>
  <w:footnote w:id="38">
    <w:p w14:paraId="3E4EA64F"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cs="Verdana"/>
          <w:sz w:val="16"/>
          <w:szCs w:val="16"/>
        </w:rPr>
        <w:t>[</w:t>
      </w:r>
      <w:r w:rsidRPr="001A7FB0">
        <w:rPr>
          <w:rFonts w:ascii="Arial" w:hAnsi="Arial" w:cs="Verdana"/>
          <w:bCs/>
          <w:sz w:val="16"/>
          <w:szCs w:val="16"/>
        </w:rPr>
        <w:t>1974] 3 All ER 616</w:t>
      </w:r>
      <w:r w:rsidRPr="001A7FB0">
        <w:rPr>
          <w:rFonts w:ascii="Arial" w:hAnsi="Arial"/>
          <w:sz w:val="16"/>
          <w:szCs w:val="16"/>
        </w:rPr>
        <w:t xml:space="preserve"> at 624.</w:t>
      </w:r>
    </w:p>
  </w:footnote>
  <w:footnote w:id="39">
    <w:p w14:paraId="6A4EFCF6"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See Paterson J, </w:t>
      </w:r>
      <w:r w:rsidRPr="001A7FB0">
        <w:rPr>
          <w:rFonts w:ascii="Arial" w:hAnsi="Arial"/>
          <w:i/>
          <w:sz w:val="16"/>
          <w:szCs w:val="16"/>
        </w:rPr>
        <w:t>Unfair Contract Terms in Australia</w:t>
      </w:r>
      <w:r w:rsidRPr="001A7FB0">
        <w:rPr>
          <w:rFonts w:ascii="Arial" w:hAnsi="Arial"/>
          <w:sz w:val="16"/>
          <w:szCs w:val="16"/>
        </w:rPr>
        <w:t xml:space="preserve">, (Lawbook Co. 2012), 54 and Booth P, </w:t>
      </w:r>
      <w:r w:rsidRPr="001A7FB0">
        <w:rPr>
          <w:rFonts w:ascii="Arial" w:hAnsi="Arial"/>
          <w:i/>
          <w:sz w:val="16"/>
          <w:szCs w:val="16"/>
        </w:rPr>
        <w:t>An introduction to the Australian Consumer Law Bill</w:t>
      </w:r>
      <w:r w:rsidRPr="001A7FB0">
        <w:rPr>
          <w:rFonts w:ascii="Arial" w:hAnsi="Arial"/>
          <w:sz w:val="16"/>
          <w:szCs w:val="16"/>
        </w:rPr>
        <w:t>, 20 August 2009, 3-4, available at: www.gordonandjackson.com.au/online-library.</w:t>
      </w:r>
    </w:p>
  </w:footnote>
  <w:footnote w:id="40">
    <w:p w14:paraId="734B6885"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28; ASIC Act s 12BL.</w:t>
      </w:r>
    </w:p>
  </w:footnote>
  <w:footnote w:id="41">
    <w:p w14:paraId="2EF59986"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Explanatory Memorandum, Trade Practices Amendment (Australian Consumer Law) Bill</w:t>
      </w:r>
      <w:r w:rsidRPr="001A7FB0">
        <w:rPr>
          <w:rFonts w:ascii="Arial" w:hAnsi="Arial"/>
          <w:sz w:val="16"/>
          <w:szCs w:val="16"/>
        </w:rPr>
        <w:t xml:space="preserve"> (No 2) 2010 (</w:t>
      </w:r>
      <w:proofErr w:type="spellStart"/>
      <w:r w:rsidRPr="001A7FB0">
        <w:rPr>
          <w:rFonts w:ascii="Arial" w:hAnsi="Arial"/>
          <w:sz w:val="16"/>
          <w:szCs w:val="16"/>
        </w:rPr>
        <w:t>Cth</w:t>
      </w:r>
      <w:proofErr w:type="spellEnd"/>
      <w:r w:rsidRPr="001A7FB0">
        <w:rPr>
          <w:rFonts w:ascii="Arial" w:hAnsi="Arial"/>
          <w:sz w:val="16"/>
          <w:szCs w:val="16"/>
        </w:rPr>
        <w:t>) 5.60-5.61.</w:t>
      </w:r>
    </w:p>
  </w:footnote>
  <w:footnote w:id="42">
    <w:p w14:paraId="1F0F700A"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 xml:space="preserve">Office of </w:t>
      </w:r>
      <w:proofErr w:type="gramStart"/>
      <w:r w:rsidRPr="001A7FB0">
        <w:rPr>
          <w:rFonts w:ascii="Arial" w:hAnsi="Arial"/>
          <w:i/>
          <w:sz w:val="16"/>
          <w:szCs w:val="16"/>
        </w:rPr>
        <w:t>Fair Trading</w:t>
      </w:r>
      <w:proofErr w:type="gramEnd"/>
      <w:r w:rsidRPr="001A7FB0">
        <w:rPr>
          <w:rFonts w:ascii="Arial" w:hAnsi="Arial"/>
          <w:i/>
          <w:sz w:val="16"/>
          <w:szCs w:val="16"/>
        </w:rPr>
        <w:t xml:space="preserve"> v Abby National plc </w:t>
      </w:r>
      <w:r w:rsidRPr="001A7FB0">
        <w:rPr>
          <w:rFonts w:ascii="Arial" w:hAnsi="Arial"/>
          <w:sz w:val="16"/>
          <w:szCs w:val="16"/>
        </w:rPr>
        <w:t>[2010] 1 AC 696 at [44].</w:t>
      </w:r>
    </w:p>
  </w:footnote>
  <w:footnote w:id="43">
    <w:p w14:paraId="2E49F89D"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Paterson J, </w:t>
      </w:r>
      <w:r w:rsidRPr="001A7FB0">
        <w:rPr>
          <w:rFonts w:ascii="Arial" w:hAnsi="Arial"/>
          <w:i/>
          <w:sz w:val="16"/>
          <w:szCs w:val="16"/>
        </w:rPr>
        <w:t>Unfair Contract Terms in Australia</w:t>
      </w:r>
      <w:r w:rsidRPr="001A7FB0">
        <w:rPr>
          <w:rFonts w:ascii="Arial" w:hAnsi="Arial"/>
          <w:sz w:val="16"/>
          <w:szCs w:val="16"/>
        </w:rPr>
        <w:t>, (Lawbook Co. 2012), 37.</w:t>
      </w:r>
    </w:p>
  </w:footnote>
  <w:footnote w:id="44">
    <w:p w14:paraId="66D375BA"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[2008] VCAT 484 at [66].</w:t>
      </w:r>
    </w:p>
  </w:footnote>
  <w:footnote w:id="45">
    <w:p w14:paraId="5958407A"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Paterson J, </w:t>
      </w:r>
      <w:r w:rsidRPr="001A7FB0">
        <w:rPr>
          <w:rFonts w:ascii="Arial" w:hAnsi="Arial"/>
          <w:i/>
          <w:sz w:val="16"/>
          <w:szCs w:val="16"/>
        </w:rPr>
        <w:t>Unfair Contract Terms in Australia</w:t>
      </w:r>
      <w:r w:rsidRPr="001A7FB0">
        <w:rPr>
          <w:rFonts w:ascii="Arial" w:hAnsi="Arial"/>
          <w:sz w:val="16"/>
          <w:szCs w:val="16"/>
        </w:rPr>
        <w:t>, (Lawbook Co. 2012) chapter 11.</w:t>
      </w:r>
    </w:p>
  </w:footnote>
  <w:footnote w:id="46">
    <w:p w14:paraId="29AE7558"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Associate Professor at the University of Melbourne Law School.</w:t>
      </w:r>
    </w:p>
  </w:footnote>
  <w:footnote w:id="47">
    <w:p w14:paraId="24D86F76"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Paterson J, </w:t>
      </w:r>
      <w:r w:rsidRPr="001A7FB0">
        <w:rPr>
          <w:rFonts w:ascii="Arial" w:hAnsi="Arial"/>
          <w:i/>
          <w:sz w:val="16"/>
          <w:szCs w:val="16"/>
        </w:rPr>
        <w:t>Unfair Contract Terms in Australia</w:t>
      </w:r>
      <w:r w:rsidRPr="001A7FB0">
        <w:rPr>
          <w:rFonts w:ascii="Arial" w:hAnsi="Arial"/>
          <w:sz w:val="16"/>
          <w:szCs w:val="16"/>
        </w:rPr>
        <w:t>, (Lawbook Co. 2012), 40.</w:t>
      </w:r>
    </w:p>
  </w:footnote>
  <w:footnote w:id="48">
    <w:p w14:paraId="1C0E208F" w14:textId="2FA3F127" w:rsidR="005B366C" w:rsidRPr="005B366C" w:rsidRDefault="005B366C" w:rsidP="005B366C">
      <w:pPr>
        <w:pStyle w:val="FootnoteText"/>
        <w:ind w:left="284" w:hanging="284"/>
        <w:rPr>
          <w:rFonts w:ascii="Arial" w:hAnsi="Arial" w:cs="Arial"/>
          <w:sz w:val="16"/>
          <w:szCs w:val="16"/>
        </w:rPr>
      </w:pPr>
      <w:r w:rsidRPr="005B366C">
        <w:rPr>
          <w:rStyle w:val="FootnoteReference"/>
          <w:rFonts w:ascii="Arial" w:hAnsi="Arial" w:cs="Arial"/>
          <w:sz w:val="16"/>
          <w:szCs w:val="16"/>
        </w:rPr>
        <w:footnoteRef/>
      </w:r>
      <w:r w:rsidRPr="005B366C">
        <w:rPr>
          <w:rFonts w:ascii="Arial" w:hAnsi="Arial" w:cs="Arial"/>
          <w:sz w:val="16"/>
          <w:szCs w:val="16"/>
        </w:rPr>
        <w:t xml:space="preserve"> </w:t>
      </w:r>
      <w:r>
        <w:rPr>
          <w:rFonts w:ascii="Arial" w:hAnsi="Arial" w:cs="Arial"/>
          <w:sz w:val="16"/>
          <w:szCs w:val="16"/>
        </w:rPr>
        <w:tab/>
      </w:r>
      <w:r w:rsidRPr="005B366C">
        <w:rPr>
          <w:rFonts w:ascii="Arial" w:hAnsi="Arial" w:cs="Arial"/>
          <w:i/>
          <w:sz w:val="16"/>
          <w:szCs w:val="16"/>
        </w:rPr>
        <w:t xml:space="preserve">Unfair Terms in Consumer Contract Regulations </w:t>
      </w:r>
      <w:r w:rsidRPr="005B366C">
        <w:rPr>
          <w:rFonts w:ascii="Arial" w:hAnsi="Arial" w:cs="Arial"/>
          <w:sz w:val="16"/>
          <w:szCs w:val="16"/>
        </w:rPr>
        <w:t>1999</w:t>
      </w:r>
      <w:r w:rsidRPr="005B366C">
        <w:rPr>
          <w:rFonts w:ascii="Arial" w:hAnsi="Arial" w:cs="Arial"/>
          <w:i/>
          <w:sz w:val="16"/>
          <w:szCs w:val="16"/>
        </w:rPr>
        <w:t xml:space="preserve"> </w:t>
      </w:r>
      <w:r w:rsidRPr="005B366C">
        <w:rPr>
          <w:rFonts w:ascii="Arial" w:hAnsi="Arial" w:cs="Arial"/>
          <w:sz w:val="16"/>
          <w:szCs w:val="16"/>
        </w:rPr>
        <w:t>(UK)</w:t>
      </w:r>
      <w:r>
        <w:rPr>
          <w:rFonts w:ascii="Arial" w:hAnsi="Arial" w:cs="Arial"/>
          <w:sz w:val="16"/>
          <w:szCs w:val="16"/>
        </w:rPr>
        <w:t>.</w:t>
      </w:r>
    </w:p>
  </w:footnote>
  <w:footnote w:id="49">
    <w:p w14:paraId="1E38C814"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[2002] 1 AC 481 at [12</w:t>
      </w:r>
      <w:r w:rsidRPr="001A7FB0">
        <w:rPr>
          <w:rFonts w:ascii="Arial" w:hAnsi="Arial"/>
        </w:rPr>
        <w:t>].</w:t>
      </w:r>
    </w:p>
  </w:footnote>
  <w:footnote w:id="50">
    <w:p w14:paraId="03606250"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[2011] EWHC 1237 (Ch).</w:t>
      </w:r>
    </w:p>
  </w:footnote>
  <w:footnote w:id="51">
    <w:p w14:paraId="23A84FA3"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The comparable provision in the ACL is s 26 and in the ASIC Act is s 12BI.</w:t>
      </w:r>
    </w:p>
  </w:footnote>
  <w:footnote w:id="52">
    <w:p w14:paraId="0B03D904"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At [175].</w:t>
      </w:r>
    </w:p>
  </w:footnote>
  <w:footnote w:id="53">
    <w:p w14:paraId="2DA915CB"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At [5.67].</w:t>
      </w:r>
    </w:p>
  </w:footnote>
  <w:footnote w:id="54">
    <w:p w14:paraId="4AB5CE15"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At [5.67].</w:t>
      </w:r>
    </w:p>
  </w:footnote>
  <w:footnote w:id="55">
    <w:p w14:paraId="3BAFE474"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ACL s 26(1); ASIC Act s 12</w:t>
      </w:r>
      <w:proofErr w:type="gramStart"/>
      <w:r w:rsidRPr="001A7FB0">
        <w:rPr>
          <w:rFonts w:ascii="Arial" w:hAnsi="Arial"/>
          <w:sz w:val="16"/>
          <w:szCs w:val="16"/>
        </w:rPr>
        <w:t>BI(</w:t>
      </w:r>
      <w:proofErr w:type="gramEnd"/>
      <w:r w:rsidRPr="001A7FB0">
        <w:rPr>
          <w:rFonts w:ascii="Arial" w:hAnsi="Arial"/>
          <w:sz w:val="16"/>
          <w:szCs w:val="16"/>
        </w:rPr>
        <w:t>1).</w:t>
      </w:r>
    </w:p>
  </w:footnote>
  <w:footnote w:id="56">
    <w:p w14:paraId="4EC89675" w14:textId="77777777" w:rsidR="006127C2" w:rsidRPr="00C71D72" w:rsidRDefault="006127C2" w:rsidP="006127C2">
      <w:pPr>
        <w:pStyle w:val="FootnoteText"/>
        <w:ind w:left="284" w:hanging="284"/>
        <w:rPr>
          <w:rFonts w:ascii="Arial" w:hAnsi="Arial" w:cs="Arial"/>
          <w:sz w:val="16"/>
          <w:szCs w:val="16"/>
        </w:rPr>
      </w:pPr>
      <w:r w:rsidRPr="00C71D72">
        <w:rPr>
          <w:rStyle w:val="FootnoteReference"/>
          <w:rFonts w:ascii="Arial" w:hAnsi="Arial" w:cs="Arial"/>
          <w:sz w:val="16"/>
          <w:szCs w:val="16"/>
        </w:rPr>
        <w:footnoteRef/>
      </w:r>
      <w:r w:rsidRPr="00C71D72">
        <w:rPr>
          <w:rFonts w:ascii="Arial" w:hAnsi="Arial" w:cs="Arial"/>
          <w:sz w:val="16"/>
          <w:szCs w:val="16"/>
        </w:rPr>
        <w:t xml:space="preserve"> </w:t>
      </w:r>
      <w:r>
        <w:rPr>
          <w:rFonts w:ascii="Arial" w:hAnsi="Arial" w:cs="Arial"/>
          <w:sz w:val="16"/>
          <w:szCs w:val="16"/>
        </w:rPr>
        <w:tab/>
      </w:r>
      <w:r>
        <w:rPr>
          <w:rFonts w:ascii="Arial" w:hAnsi="Arial" w:cs="Arial"/>
          <w:i/>
          <w:iCs/>
          <w:sz w:val="16"/>
          <w:szCs w:val="16"/>
        </w:rPr>
        <w:t xml:space="preserve">ASIC v Bendigo and Adelaide Bank Ltd </w:t>
      </w:r>
      <w:r>
        <w:rPr>
          <w:rFonts w:ascii="Arial" w:hAnsi="Arial" w:cs="Arial"/>
          <w:sz w:val="16"/>
          <w:szCs w:val="16"/>
        </w:rPr>
        <w:t>[2020] FCA 716 at [17] to [20].</w:t>
      </w:r>
    </w:p>
  </w:footnote>
  <w:footnote w:id="57">
    <w:p w14:paraId="65DC1466"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 xml:space="preserve">Director General of </w:t>
      </w:r>
      <w:proofErr w:type="gramStart"/>
      <w:r w:rsidRPr="001A7FB0">
        <w:rPr>
          <w:rFonts w:ascii="Arial" w:hAnsi="Arial"/>
          <w:i/>
          <w:sz w:val="16"/>
          <w:szCs w:val="16"/>
        </w:rPr>
        <w:t>Fair Trading</w:t>
      </w:r>
      <w:proofErr w:type="gramEnd"/>
      <w:r w:rsidRPr="001A7FB0">
        <w:rPr>
          <w:rFonts w:ascii="Arial" w:hAnsi="Arial"/>
          <w:i/>
          <w:sz w:val="16"/>
          <w:szCs w:val="16"/>
        </w:rPr>
        <w:t xml:space="preserve"> v First National Bank</w:t>
      </w:r>
      <w:r w:rsidRPr="001A7FB0">
        <w:rPr>
          <w:rFonts w:ascii="Arial" w:hAnsi="Arial"/>
          <w:sz w:val="16"/>
          <w:szCs w:val="16"/>
        </w:rPr>
        <w:t xml:space="preserve"> [2002] 1 ALL ER 97 at [37].</w:t>
      </w:r>
    </w:p>
  </w:footnote>
  <w:footnote w:id="58">
    <w:p w14:paraId="47077A3A"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Ibid at [17].</w:t>
      </w:r>
    </w:p>
  </w:footnote>
  <w:footnote w:id="59">
    <w:p w14:paraId="04E8CF80"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[2015] FCA 1204.</w:t>
      </w:r>
    </w:p>
  </w:footnote>
  <w:footnote w:id="60">
    <w:p w14:paraId="726D1F77"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[2008] VSC 539 at [114].</w:t>
      </w:r>
    </w:p>
  </w:footnote>
  <w:footnote w:id="61">
    <w:p w14:paraId="3F9816CA" w14:textId="7E5E9DC3" w:rsidR="00913CF7" w:rsidRPr="00A06B7C" w:rsidRDefault="00913CF7"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r>
      <w:r w:rsidRPr="00A06B7C">
        <w:rPr>
          <w:rFonts w:ascii="Arial" w:hAnsi="Arial" w:cs="Arial"/>
          <w:sz w:val="16"/>
          <w:szCs w:val="16"/>
        </w:rPr>
        <w:t>Ibid at [104]-[105].</w:t>
      </w:r>
    </w:p>
  </w:footnote>
  <w:footnote w:id="62">
    <w:p w14:paraId="5F5CFA63"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[2005] CSOH 85.</w:t>
      </w:r>
    </w:p>
  </w:footnote>
  <w:footnote w:id="63">
    <w:p w14:paraId="0CFE8002"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At [43].</w:t>
      </w:r>
    </w:p>
  </w:footnote>
  <w:footnote w:id="64">
    <w:p w14:paraId="1A81909D"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[2008] VSC 539.</w:t>
      </w:r>
    </w:p>
  </w:footnote>
  <w:footnote w:id="65">
    <w:p w14:paraId="7795A03D"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At [129].</w:t>
      </w:r>
    </w:p>
  </w:footnote>
  <w:footnote w:id="66">
    <w:p w14:paraId="42312FC2"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Australian Competition and Consumer Commission v CLA Trading Pty Ltd</w:t>
      </w:r>
      <w:r w:rsidRPr="001A7FB0">
        <w:rPr>
          <w:rFonts w:ascii="Arial" w:hAnsi="Arial"/>
          <w:sz w:val="16"/>
          <w:szCs w:val="16"/>
        </w:rPr>
        <w:t xml:space="preserve"> [2016] FCA 337 at [54(g)].</w:t>
      </w:r>
    </w:p>
  </w:footnote>
  <w:footnote w:id="67">
    <w:p w14:paraId="648DBDFA" w14:textId="707A1A7C" w:rsidR="00E71A91" w:rsidRPr="00A06B7C" w:rsidRDefault="00E71A91"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t>[2007] FCA 1224 at [31].</w:t>
      </w:r>
    </w:p>
  </w:footnote>
  <w:footnote w:id="68">
    <w:p w14:paraId="0ABB22F7"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s 24(4) of the ACL and s 12BG of the ASIC Act.</w:t>
      </w:r>
    </w:p>
  </w:footnote>
  <w:footnote w:id="69">
    <w:p w14:paraId="483911CE"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See </w:t>
      </w:r>
      <w:proofErr w:type="spellStart"/>
      <w:r w:rsidRPr="001A7FB0">
        <w:rPr>
          <w:rFonts w:ascii="Arial" w:hAnsi="Arial"/>
          <w:i/>
          <w:sz w:val="16"/>
          <w:szCs w:val="16"/>
        </w:rPr>
        <w:t>Bransgrove</w:t>
      </w:r>
      <w:proofErr w:type="spellEnd"/>
      <w:r w:rsidRPr="001A7FB0">
        <w:rPr>
          <w:rFonts w:ascii="Arial" w:hAnsi="Arial"/>
          <w:i/>
          <w:sz w:val="16"/>
          <w:szCs w:val="16"/>
        </w:rPr>
        <w:t xml:space="preserve"> v Sebring Pty Ltd &amp; Anor </w:t>
      </w:r>
      <w:r w:rsidRPr="001A7FB0">
        <w:rPr>
          <w:rFonts w:ascii="Arial" w:hAnsi="Arial"/>
          <w:sz w:val="16"/>
          <w:szCs w:val="16"/>
        </w:rPr>
        <w:t>(Civil Claims) [2012] VCAT 1189 at [64]-[66].</w:t>
      </w:r>
    </w:p>
  </w:footnote>
  <w:footnote w:id="70">
    <w:p w14:paraId="3B15C4A5" w14:textId="196151ED" w:rsidR="004C7E03" w:rsidRPr="00A06B7C" w:rsidRDefault="004C7E03"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r>
      <w:r w:rsidRPr="00A06B7C">
        <w:rPr>
          <w:rFonts w:ascii="Arial" w:hAnsi="Arial" w:cs="Arial"/>
          <w:sz w:val="16"/>
          <w:szCs w:val="16"/>
        </w:rPr>
        <w:t>[2019] FCA 1436 at [48]</w:t>
      </w:r>
      <w:r>
        <w:rPr>
          <w:rFonts w:ascii="Arial" w:hAnsi="Arial" w:cs="Arial"/>
          <w:sz w:val="16"/>
          <w:szCs w:val="16"/>
        </w:rPr>
        <w:t>.</w:t>
      </w:r>
    </w:p>
  </w:footnote>
  <w:footnote w:id="71">
    <w:p w14:paraId="33534395" w14:textId="71BD091C" w:rsidR="004E7886" w:rsidRPr="00A06B7C" w:rsidRDefault="004E7886"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t>[2015] FCA 368 at [925].</w:t>
      </w:r>
    </w:p>
  </w:footnote>
  <w:footnote w:id="72">
    <w:p w14:paraId="00C38F30" w14:textId="4E2F45BC" w:rsidR="00586142" w:rsidRPr="00A06B7C" w:rsidRDefault="00586142" w:rsidP="00A06B7C">
      <w:pPr>
        <w:pStyle w:val="FootnoteText"/>
        <w:ind w:left="284" w:hanging="284"/>
        <w:rPr>
          <w:rFonts w:ascii="Arial" w:hAnsi="Arial" w:cs="Arial"/>
          <w:i/>
          <w:iCs/>
          <w:sz w:val="16"/>
          <w:szCs w:val="16"/>
        </w:rPr>
      </w:pPr>
      <w:r w:rsidRPr="00167ED9">
        <w:rPr>
          <w:rStyle w:val="FootnoteReference"/>
          <w:rFonts w:ascii="Arial" w:hAnsi="Arial" w:cs="Arial"/>
          <w:sz w:val="16"/>
          <w:szCs w:val="16"/>
        </w:rPr>
        <w:footnoteRef/>
      </w:r>
      <w:r w:rsidRPr="00167ED9">
        <w:rPr>
          <w:rFonts w:ascii="Arial" w:hAnsi="Arial" w:cs="Arial"/>
          <w:sz w:val="16"/>
          <w:szCs w:val="16"/>
        </w:rPr>
        <w:t xml:space="preserve"> </w:t>
      </w:r>
      <w:r w:rsidRPr="00167ED9">
        <w:rPr>
          <w:rFonts w:ascii="Arial" w:hAnsi="Arial" w:cs="Arial"/>
          <w:sz w:val="16"/>
          <w:szCs w:val="16"/>
        </w:rPr>
        <w:tab/>
      </w:r>
      <w:r>
        <w:rPr>
          <w:rFonts w:ascii="Arial" w:hAnsi="Arial" w:cs="Arial"/>
          <w:i/>
          <w:iCs/>
          <w:sz w:val="16"/>
          <w:szCs w:val="16"/>
        </w:rPr>
        <w:t xml:space="preserve">ACCC v Ashley Martin Pty Ltd </w:t>
      </w:r>
      <w:r w:rsidRPr="00A06B7C">
        <w:rPr>
          <w:rFonts w:ascii="Arial" w:hAnsi="Arial" w:cs="Arial"/>
          <w:sz w:val="16"/>
          <w:szCs w:val="16"/>
        </w:rPr>
        <w:t xml:space="preserve">[2019] FCA 1436 </w:t>
      </w:r>
      <w:r>
        <w:rPr>
          <w:rFonts w:ascii="Arial" w:hAnsi="Arial" w:cs="Arial"/>
          <w:sz w:val="16"/>
          <w:szCs w:val="16"/>
        </w:rPr>
        <w:t>at [60].</w:t>
      </w:r>
    </w:p>
  </w:footnote>
  <w:footnote w:id="73">
    <w:p w14:paraId="19CD7B43"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 xml:space="preserve">Director General of </w:t>
      </w:r>
      <w:proofErr w:type="gramStart"/>
      <w:r w:rsidRPr="001A7FB0">
        <w:rPr>
          <w:rFonts w:ascii="Arial" w:hAnsi="Arial"/>
          <w:i/>
          <w:sz w:val="16"/>
          <w:szCs w:val="16"/>
        </w:rPr>
        <w:t>Fair Trading</w:t>
      </w:r>
      <w:proofErr w:type="gramEnd"/>
      <w:r w:rsidRPr="001A7FB0">
        <w:rPr>
          <w:rFonts w:ascii="Arial" w:hAnsi="Arial"/>
          <w:i/>
          <w:sz w:val="16"/>
          <w:szCs w:val="16"/>
        </w:rPr>
        <w:t xml:space="preserve"> v First National Bank</w:t>
      </w:r>
      <w:r w:rsidRPr="001A7FB0">
        <w:rPr>
          <w:rFonts w:ascii="Arial" w:hAnsi="Arial"/>
          <w:sz w:val="16"/>
          <w:szCs w:val="16"/>
        </w:rPr>
        <w:t xml:space="preserve"> [2002] 1 ALL ER 97 at [13].</w:t>
      </w:r>
    </w:p>
  </w:footnote>
  <w:footnote w:id="74">
    <w:p w14:paraId="70DFCACA" w14:textId="64F33EE8" w:rsidR="00586142" w:rsidRPr="00A06B7C" w:rsidRDefault="00586142" w:rsidP="00A06B7C">
      <w:pPr>
        <w:pStyle w:val="FootnoteText"/>
        <w:ind w:left="284" w:hanging="284"/>
        <w:rPr>
          <w:rFonts w:ascii="Arial" w:hAnsi="Arial" w:cs="Arial"/>
          <w:sz w:val="16"/>
          <w:szCs w:val="16"/>
        </w:rPr>
      </w:pPr>
      <w:r w:rsidRPr="00A06B7C">
        <w:rPr>
          <w:rStyle w:val="FootnoteReference"/>
          <w:rFonts w:ascii="Arial" w:hAnsi="Arial" w:cs="Arial"/>
          <w:sz w:val="16"/>
          <w:szCs w:val="16"/>
        </w:rPr>
        <w:footnoteRef/>
      </w:r>
      <w:r w:rsidRPr="00A06B7C">
        <w:rPr>
          <w:rFonts w:ascii="Arial" w:hAnsi="Arial" w:cs="Arial"/>
          <w:sz w:val="16"/>
          <w:szCs w:val="16"/>
        </w:rPr>
        <w:t xml:space="preserve"> </w:t>
      </w:r>
      <w:r>
        <w:rPr>
          <w:rFonts w:ascii="Arial" w:hAnsi="Arial" w:cs="Arial"/>
          <w:sz w:val="16"/>
          <w:szCs w:val="16"/>
        </w:rPr>
        <w:tab/>
      </w:r>
      <w:r>
        <w:rPr>
          <w:rFonts w:ascii="Arial" w:hAnsi="Arial" w:cs="Arial"/>
          <w:i/>
          <w:iCs/>
          <w:sz w:val="16"/>
          <w:szCs w:val="16"/>
        </w:rPr>
        <w:t xml:space="preserve">ACCC v Ashley Martin Pty Ltd </w:t>
      </w:r>
      <w:r w:rsidRPr="00C71D72">
        <w:rPr>
          <w:rFonts w:ascii="Arial" w:hAnsi="Arial" w:cs="Arial"/>
          <w:sz w:val="16"/>
          <w:szCs w:val="16"/>
        </w:rPr>
        <w:t xml:space="preserve">[2019] FCA 1436 </w:t>
      </w:r>
      <w:r>
        <w:rPr>
          <w:rFonts w:ascii="Arial" w:hAnsi="Arial" w:cs="Arial"/>
          <w:sz w:val="16"/>
          <w:szCs w:val="16"/>
        </w:rPr>
        <w:t>at [6</w:t>
      </w:r>
      <w:r w:rsidR="00853248">
        <w:rPr>
          <w:rFonts w:ascii="Arial" w:hAnsi="Arial" w:cs="Arial"/>
          <w:sz w:val="16"/>
          <w:szCs w:val="16"/>
        </w:rPr>
        <w:t>3</w:t>
      </w:r>
      <w:r>
        <w:rPr>
          <w:rFonts w:ascii="Arial" w:hAnsi="Arial" w:cs="Arial"/>
          <w:sz w:val="16"/>
          <w:szCs w:val="16"/>
        </w:rPr>
        <w:t>].</w:t>
      </w:r>
    </w:p>
  </w:footnote>
  <w:footnote w:id="75">
    <w:p w14:paraId="7AFE68EB"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 xml:space="preserve">Australian Competition and Consumer Commission, </w:t>
      </w:r>
      <w:r w:rsidRPr="001A7FB0">
        <w:rPr>
          <w:rFonts w:ascii="Arial" w:hAnsi="Arial"/>
          <w:i/>
          <w:sz w:val="16"/>
          <w:szCs w:val="16"/>
        </w:rPr>
        <w:t xml:space="preserve">A Guide to the Unfair Contract Terms Law </w:t>
      </w:r>
      <w:r w:rsidRPr="001A7FB0">
        <w:rPr>
          <w:rFonts w:ascii="Arial" w:hAnsi="Arial"/>
          <w:sz w:val="16"/>
          <w:szCs w:val="16"/>
        </w:rPr>
        <w:t>(Commonwealth of Australia, 2010), 12.</w:t>
      </w:r>
    </w:p>
  </w:footnote>
  <w:footnote w:id="76">
    <w:p w14:paraId="0D0BE653"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[2008] VCAT 482 at [66].</w:t>
      </w:r>
    </w:p>
  </w:footnote>
  <w:footnote w:id="77">
    <w:p w14:paraId="1C8FC7CF"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[2008] VCAT 2092 at [145].</w:t>
      </w:r>
    </w:p>
  </w:footnote>
  <w:footnote w:id="78">
    <w:p w14:paraId="52F118E1"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Explanatory Memorandum, Trade Practices Amendment (Australian Consumer Law) Bill</w:t>
      </w:r>
      <w:r w:rsidRPr="001A7FB0">
        <w:rPr>
          <w:rFonts w:ascii="Arial" w:hAnsi="Arial"/>
          <w:sz w:val="16"/>
          <w:szCs w:val="16"/>
        </w:rPr>
        <w:t xml:space="preserve"> (No 2) 2010 (</w:t>
      </w:r>
      <w:proofErr w:type="spellStart"/>
      <w:r w:rsidRPr="001A7FB0">
        <w:rPr>
          <w:rFonts w:ascii="Arial" w:hAnsi="Arial"/>
          <w:sz w:val="16"/>
          <w:szCs w:val="16"/>
        </w:rPr>
        <w:t>Cth</w:t>
      </w:r>
      <w:proofErr w:type="spellEnd"/>
      <w:r w:rsidRPr="001A7FB0">
        <w:rPr>
          <w:rFonts w:ascii="Arial" w:hAnsi="Arial"/>
          <w:sz w:val="16"/>
          <w:szCs w:val="16"/>
        </w:rPr>
        <w:t>) at [5.39].</w:t>
      </w:r>
    </w:p>
  </w:footnote>
  <w:footnote w:id="79">
    <w:p w14:paraId="065450ED"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[2008] VSC 539.</w:t>
      </w:r>
    </w:p>
  </w:footnote>
  <w:footnote w:id="80">
    <w:p w14:paraId="6BB137C3" w14:textId="77777777" w:rsidR="00273B48" w:rsidRPr="001A7FB0" w:rsidRDefault="00273B48" w:rsidP="00DB3D8D">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At [115].</w:t>
      </w:r>
    </w:p>
  </w:footnote>
  <w:footnote w:id="81">
    <w:p w14:paraId="08B51F5E"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[2015] FCA 1204.</w:t>
      </w:r>
    </w:p>
  </w:footnote>
  <w:footnote w:id="82">
    <w:p w14:paraId="2780FF70"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At [69].</w:t>
      </w:r>
    </w:p>
  </w:footnote>
  <w:footnote w:id="83">
    <w:p w14:paraId="1AD43E90"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t>At [71]-[94]</w:t>
      </w:r>
    </w:p>
  </w:footnote>
  <w:footnote w:id="84">
    <w:p w14:paraId="10F8570B" w14:textId="77777777" w:rsidR="00273B48" w:rsidRPr="00001329" w:rsidRDefault="00273B48" w:rsidP="00635C2B">
      <w:pPr>
        <w:pStyle w:val="FootnoteText"/>
        <w:ind w:left="284" w:hanging="284"/>
        <w:rPr>
          <w:rFonts w:ascii="Arial" w:hAnsi="Arial" w:cs="Arial"/>
          <w:sz w:val="16"/>
          <w:szCs w:val="16"/>
        </w:rPr>
      </w:pPr>
      <w:r w:rsidRPr="00001329">
        <w:rPr>
          <w:rStyle w:val="FootnoteReference"/>
          <w:rFonts w:ascii="Arial" w:hAnsi="Arial" w:cs="Arial"/>
          <w:sz w:val="16"/>
          <w:szCs w:val="16"/>
        </w:rPr>
        <w:footnoteRef/>
      </w:r>
      <w:r w:rsidRPr="00001329">
        <w:rPr>
          <w:rFonts w:ascii="Arial" w:hAnsi="Arial" w:cs="Arial"/>
          <w:sz w:val="16"/>
          <w:szCs w:val="16"/>
        </w:rPr>
        <w:t xml:space="preserve"> </w:t>
      </w:r>
      <w:r>
        <w:rPr>
          <w:rFonts w:ascii="Arial" w:hAnsi="Arial" w:cs="Arial"/>
          <w:sz w:val="16"/>
          <w:szCs w:val="16"/>
        </w:rPr>
        <w:tab/>
        <w:t>[2016] FCA 377.</w:t>
      </w:r>
    </w:p>
  </w:footnote>
  <w:footnote w:id="85">
    <w:p w14:paraId="222FEC62" w14:textId="77777777" w:rsidR="00273B48" w:rsidRPr="001A7FB0" w:rsidRDefault="00273B48" w:rsidP="00635C2B">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Australian Competition and Consumer Commission v CLA Trading Pty Ltd</w:t>
      </w:r>
      <w:r w:rsidRPr="001A7FB0">
        <w:rPr>
          <w:rFonts w:ascii="Arial" w:hAnsi="Arial"/>
          <w:sz w:val="16"/>
          <w:szCs w:val="16"/>
        </w:rPr>
        <w:t xml:space="preserve"> [2016] FCA 337 at [8].</w:t>
      </w:r>
    </w:p>
  </w:footnote>
  <w:footnote w:id="86">
    <w:p w14:paraId="238C2599" w14:textId="77777777" w:rsidR="00273B48" w:rsidRPr="001A7FB0" w:rsidRDefault="00273B48" w:rsidP="00282808">
      <w:pPr>
        <w:pStyle w:val="FootnoteText"/>
        <w:ind w:left="284" w:hanging="284"/>
        <w:rPr>
          <w:rFonts w:ascii="Arial" w:hAnsi="Arial"/>
          <w:sz w:val="16"/>
          <w:szCs w:val="16"/>
        </w:rPr>
      </w:pPr>
      <w:r w:rsidRPr="001A7FB0">
        <w:rPr>
          <w:rStyle w:val="FootnoteReference"/>
          <w:rFonts w:ascii="Arial" w:hAnsi="Arial"/>
          <w:sz w:val="16"/>
          <w:szCs w:val="16"/>
        </w:rPr>
        <w:footnoteRef/>
      </w:r>
      <w:r w:rsidRPr="001A7FB0">
        <w:rPr>
          <w:rFonts w:ascii="Arial" w:hAnsi="Arial"/>
          <w:sz w:val="16"/>
          <w:szCs w:val="16"/>
        </w:rPr>
        <w:t xml:space="preserve"> </w:t>
      </w:r>
      <w:r w:rsidRPr="001A7FB0">
        <w:rPr>
          <w:rFonts w:ascii="Arial" w:hAnsi="Arial"/>
          <w:sz w:val="16"/>
          <w:szCs w:val="16"/>
        </w:rPr>
        <w:tab/>
      </w:r>
      <w:r w:rsidRPr="001A7FB0">
        <w:rPr>
          <w:rFonts w:ascii="Arial" w:hAnsi="Arial"/>
          <w:i/>
          <w:sz w:val="16"/>
          <w:szCs w:val="16"/>
        </w:rPr>
        <w:t>Australian Competition and Consumer Commission v CLA Trading Pty Ltd</w:t>
      </w:r>
      <w:r w:rsidRPr="001A7FB0">
        <w:rPr>
          <w:rFonts w:ascii="Arial" w:hAnsi="Arial"/>
          <w:sz w:val="16"/>
          <w:szCs w:val="16"/>
        </w:rPr>
        <w:t xml:space="preserve"> [2016] FCA 337 at [81].</w:t>
      </w:r>
    </w:p>
  </w:footnote>
  <w:footnote w:id="87">
    <w:p w14:paraId="528B28AF" w14:textId="77777777" w:rsidR="00273B48" w:rsidRPr="00001329" w:rsidRDefault="00273B48" w:rsidP="00635C2B">
      <w:pPr>
        <w:pStyle w:val="FootnoteText"/>
        <w:ind w:left="284" w:hanging="284"/>
        <w:rPr>
          <w:rFonts w:ascii="Arial" w:hAnsi="Arial" w:cs="Arial"/>
          <w:sz w:val="16"/>
          <w:szCs w:val="16"/>
        </w:rPr>
      </w:pPr>
      <w:r w:rsidRPr="00001329">
        <w:rPr>
          <w:rStyle w:val="FootnoteReference"/>
          <w:rFonts w:ascii="Arial" w:hAnsi="Arial" w:cs="Arial"/>
          <w:sz w:val="16"/>
          <w:szCs w:val="16"/>
        </w:rPr>
        <w:footnoteRef/>
      </w:r>
      <w:r w:rsidRPr="00001329">
        <w:rPr>
          <w:rFonts w:ascii="Arial" w:hAnsi="Arial" w:cs="Arial"/>
          <w:sz w:val="16"/>
          <w:szCs w:val="16"/>
        </w:rPr>
        <w:t xml:space="preserve"> </w:t>
      </w:r>
      <w:r>
        <w:rPr>
          <w:rFonts w:ascii="Arial" w:hAnsi="Arial" w:cs="Arial"/>
          <w:sz w:val="16"/>
          <w:szCs w:val="16"/>
        </w:rPr>
        <w:tab/>
        <w:t>[2017] FCA 1224.</w:t>
      </w:r>
    </w:p>
  </w:footnote>
  <w:footnote w:id="88">
    <w:p w14:paraId="3FA4B411" w14:textId="77777777" w:rsidR="00273B48" w:rsidRPr="00001329" w:rsidRDefault="00273B48" w:rsidP="00635C2B">
      <w:pPr>
        <w:pStyle w:val="FootnoteText"/>
        <w:ind w:left="284" w:hanging="284"/>
        <w:rPr>
          <w:rFonts w:ascii="Arial" w:hAnsi="Arial" w:cs="Arial"/>
          <w:sz w:val="16"/>
          <w:szCs w:val="16"/>
        </w:rPr>
      </w:pPr>
      <w:r w:rsidRPr="00001329">
        <w:rPr>
          <w:rStyle w:val="FootnoteReference"/>
          <w:rFonts w:ascii="Arial" w:hAnsi="Arial" w:cs="Arial"/>
          <w:sz w:val="16"/>
          <w:szCs w:val="16"/>
        </w:rPr>
        <w:footnoteRef/>
      </w:r>
      <w:r w:rsidRPr="00001329">
        <w:rPr>
          <w:rFonts w:ascii="Arial" w:hAnsi="Arial" w:cs="Arial"/>
          <w:sz w:val="16"/>
          <w:szCs w:val="16"/>
        </w:rPr>
        <w:t xml:space="preserve"> </w:t>
      </w:r>
      <w:r>
        <w:rPr>
          <w:rFonts w:ascii="Arial" w:hAnsi="Arial" w:cs="Arial"/>
          <w:sz w:val="16"/>
          <w:szCs w:val="16"/>
        </w:rPr>
        <w:tab/>
        <w:t xml:space="preserve">At [56(a)].  See also </w:t>
      </w:r>
      <w:r w:rsidRPr="00DE0E10">
        <w:rPr>
          <w:rFonts w:ascii="Arial" w:hAnsi="Arial" w:cs="Arial"/>
          <w:i/>
          <w:sz w:val="16"/>
          <w:szCs w:val="16"/>
        </w:rPr>
        <w:t>ACCC v Servcorp Ltd</w:t>
      </w:r>
      <w:r>
        <w:rPr>
          <w:rFonts w:ascii="Arial" w:hAnsi="Arial" w:cs="Arial"/>
          <w:sz w:val="16"/>
          <w:szCs w:val="16"/>
        </w:rPr>
        <w:t xml:space="preserve"> [2018] FCA 1044 at [38]-[40].</w:t>
      </w:r>
    </w:p>
  </w:footnote>
  <w:footnote w:id="89">
    <w:p w14:paraId="2C9CB8A2" w14:textId="77777777" w:rsidR="00273B48" w:rsidRPr="00EE1BC4" w:rsidRDefault="00273B48" w:rsidP="00EE1BC4">
      <w:pPr>
        <w:pStyle w:val="FootnoteText"/>
        <w:ind w:left="284" w:hanging="284"/>
        <w:rPr>
          <w:rFonts w:ascii="Arial" w:hAnsi="Arial" w:cs="Arial"/>
          <w:sz w:val="16"/>
          <w:szCs w:val="16"/>
        </w:rPr>
      </w:pPr>
      <w:r w:rsidRPr="00EE1BC4">
        <w:rPr>
          <w:rStyle w:val="FootnoteReference"/>
          <w:rFonts w:ascii="Arial" w:hAnsi="Arial" w:cs="Arial"/>
          <w:sz w:val="16"/>
          <w:szCs w:val="16"/>
        </w:rPr>
        <w:footnoteRef/>
      </w:r>
      <w:r w:rsidRPr="00EE1BC4">
        <w:rPr>
          <w:rFonts w:ascii="Arial" w:hAnsi="Arial" w:cs="Arial"/>
          <w:sz w:val="16"/>
          <w:szCs w:val="16"/>
        </w:rPr>
        <w:t xml:space="preserve"> </w:t>
      </w:r>
      <w:r>
        <w:rPr>
          <w:rFonts w:ascii="Arial" w:hAnsi="Arial" w:cs="Arial"/>
          <w:sz w:val="16"/>
          <w:szCs w:val="16"/>
        </w:rPr>
        <w:tab/>
      </w:r>
      <w:r w:rsidRPr="00EE1BC4">
        <w:rPr>
          <w:rFonts w:ascii="Arial" w:hAnsi="Arial" w:cs="Arial"/>
          <w:iCs/>
          <w:sz w:val="16"/>
          <w:szCs w:val="16"/>
        </w:rPr>
        <w:t>[2019] FCA 1677</w:t>
      </w:r>
      <w:r>
        <w:rPr>
          <w:rFonts w:ascii="Arial" w:hAnsi="Arial" w:cs="Arial"/>
          <w:iCs/>
          <w:sz w:val="16"/>
          <w:szCs w:val="16"/>
        </w:rPr>
        <w:t>.</w:t>
      </w:r>
    </w:p>
  </w:footnote>
  <w:footnote w:id="90">
    <w:p w14:paraId="1363EB22" w14:textId="77777777" w:rsidR="00273B48" w:rsidRPr="008376DE" w:rsidRDefault="00273B48" w:rsidP="008376DE">
      <w:pPr>
        <w:pStyle w:val="FootnoteText"/>
        <w:ind w:left="284" w:hanging="284"/>
        <w:rPr>
          <w:rFonts w:ascii="Arial" w:hAnsi="Arial" w:cs="Arial"/>
          <w:sz w:val="16"/>
          <w:szCs w:val="16"/>
        </w:rPr>
      </w:pPr>
      <w:r w:rsidRPr="008376DE">
        <w:rPr>
          <w:rStyle w:val="FootnoteReference"/>
          <w:rFonts w:ascii="Arial" w:hAnsi="Arial" w:cs="Arial"/>
          <w:sz w:val="16"/>
          <w:szCs w:val="16"/>
        </w:rPr>
        <w:footnoteRef/>
      </w:r>
      <w:r w:rsidRPr="008376DE">
        <w:rPr>
          <w:rFonts w:ascii="Arial" w:hAnsi="Arial" w:cs="Arial"/>
          <w:sz w:val="16"/>
          <w:szCs w:val="16"/>
        </w:rPr>
        <w:t xml:space="preserve"> </w:t>
      </w:r>
      <w:r>
        <w:rPr>
          <w:rFonts w:ascii="Arial" w:hAnsi="Arial" w:cs="Arial"/>
          <w:sz w:val="16"/>
          <w:szCs w:val="16"/>
        </w:rPr>
        <w:tab/>
        <w:t>At [101]-[114].</w:t>
      </w:r>
    </w:p>
  </w:footnote>
  <w:footnote w:id="91">
    <w:p w14:paraId="7B402761" w14:textId="77777777" w:rsidR="00273B48" w:rsidRPr="00712A7E" w:rsidRDefault="00273B48" w:rsidP="00712A7E">
      <w:pPr>
        <w:pStyle w:val="FootnoteText"/>
        <w:ind w:left="284" w:hanging="284"/>
        <w:rPr>
          <w:rFonts w:ascii="Arial" w:hAnsi="Arial" w:cs="Arial"/>
          <w:sz w:val="16"/>
          <w:szCs w:val="16"/>
        </w:rPr>
      </w:pPr>
      <w:r w:rsidRPr="00712A7E">
        <w:rPr>
          <w:rStyle w:val="FootnoteReference"/>
          <w:rFonts w:ascii="Arial" w:hAnsi="Arial" w:cs="Arial"/>
          <w:sz w:val="16"/>
          <w:szCs w:val="16"/>
        </w:rPr>
        <w:footnoteRef/>
      </w:r>
      <w:r w:rsidRPr="00712A7E">
        <w:rPr>
          <w:rFonts w:ascii="Arial" w:hAnsi="Arial" w:cs="Arial"/>
          <w:sz w:val="16"/>
          <w:szCs w:val="16"/>
        </w:rPr>
        <w:t xml:space="preserve"> </w:t>
      </w:r>
      <w:r>
        <w:rPr>
          <w:rFonts w:ascii="Arial" w:hAnsi="Arial" w:cs="Arial"/>
          <w:sz w:val="16"/>
          <w:szCs w:val="16"/>
        </w:rPr>
        <w:tab/>
      </w:r>
      <w:r w:rsidRPr="00712A7E">
        <w:rPr>
          <w:rFonts w:ascii="Arial" w:hAnsi="Arial" w:cs="Arial"/>
          <w:sz w:val="16"/>
          <w:szCs w:val="16"/>
        </w:rPr>
        <w:t>at [229].</w:t>
      </w:r>
    </w:p>
  </w:footnote>
  <w:footnote w:id="92">
    <w:p w14:paraId="67339EA2" w14:textId="77777777" w:rsidR="00273B48" w:rsidRPr="00712A7E" w:rsidRDefault="00273B48" w:rsidP="00B15A50">
      <w:pPr>
        <w:pStyle w:val="FootnoteText"/>
        <w:ind w:left="284" w:hanging="284"/>
        <w:rPr>
          <w:rFonts w:ascii="Arial" w:hAnsi="Arial" w:cs="Arial"/>
          <w:sz w:val="16"/>
          <w:szCs w:val="16"/>
        </w:rPr>
      </w:pPr>
      <w:r w:rsidRPr="00712A7E">
        <w:rPr>
          <w:rStyle w:val="FootnoteReference"/>
          <w:rFonts w:ascii="Arial" w:hAnsi="Arial" w:cs="Arial"/>
          <w:sz w:val="16"/>
          <w:szCs w:val="16"/>
        </w:rPr>
        <w:footnoteRef/>
      </w:r>
      <w:r w:rsidRPr="00712A7E">
        <w:rPr>
          <w:rFonts w:ascii="Arial" w:hAnsi="Arial" w:cs="Arial"/>
          <w:sz w:val="16"/>
          <w:szCs w:val="16"/>
        </w:rPr>
        <w:t xml:space="preserve"> </w:t>
      </w:r>
      <w:r w:rsidRPr="00712A7E">
        <w:rPr>
          <w:rFonts w:ascii="Arial" w:hAnsi="Arial" w:cs="Arial"/>
          <w:sz w:val="16"/>
          <w:szCs w:val="16"/>
        </w:rPr>
        <w:tab/>
        <w:t>at [119].</w:t>
      </w:r>
    </w:p>
  </w:footnote>
  <w:footnote w:id="93">
    <w:p w14:paraId="4259AA5B" w14:textId="77777777" w:rsidR="00273B48" w:rsidRPr="00712A7E" w:rsidRDefault="00273B48" w:rsidP="00712A7E">
      <w:pPr>
        <w:ind w:left="284" w:hanging="284"/>
        <w:rPr>
          <w:rFonts w:ascii="Arial" w:eastAsia="Times New Roman" w:hAnsi="Arial" w:cs="Arial"/>
          <w:sz w:val="16"/>
          <w:szCs w:val="16"/>
          <w:lang w:val="en-AU" w:eastAsia="en-GB"/>
        </w:rPr>
      </w:pPr>
      <w:r w:rsidRPr="00712A7E">
        <w:rPr>
          <w:rStyle w:val="FootnoteReference"/>
          <w:rFonts w:ascii="Arial" w:hAnsi="Arial" w:cs="Arial"/>
          <w:sz w:val="16"/>
          <w:szCs w:val="16"/>
        </w:rPr>
        <w:footnoteRef/>
      </w:r>
      <w:r w:rsidRPr="00712A7E">
        <w:rPr>
          <w:rFonts w:ascii="Arial" w:hAnsi="Arial" w:cs="Arial"/>
          <w:sz w:val="16"/>
          <w:szCs w:val="16"/>
        </w:rPr>
        <w:t xml:space="preserve"> </w:t>
      </w:r>
      <w:r w:rsidRPr="00712A7E">
        <w:rPr>
          <w:rFonts w:ascii="Arial" w:hAnsi="Arial" w:cs="Arial"/>
          <w:sz w:val="16"/>
          <w:szCs w:val="16"/>
        </w:rPr>
        <w:tab/>
        <w:t xml:space="preserve">See for </w:t>
      </w:r>
      <w:r w:rsidRPr="00712A7E">
        <w:rPr>
          <w:rFonts w:ascii="Arial" w:hAnsi="Arial" w:cs="Arial"/>
          <w:i/>
          <w:iCs/>
          <w:sz w:val="16"/>
          <w:szCs w:val="16"/>
        </w:rPr>
        <w:t xml:space="preserve">example </w:t>
      </w:r>
      <w:r w:rsidRPr="00712A7E">
        <w:rPr>
          <w:rFonts w:ascii="Arial" w:eastAsia="Times New Roman" w:hAnsi="Arial" w:cs="Arial"/>
          <w:i/>
          <w:iCs/>
          <w:color w:val="212121"/>
          <w:sz w:val="16"/>
          <w:szCs w:val="16"/>
          <w:shd w:val="clear" w:color="auto" w:fill="FFFFFF"/>
          <w:lang w:val="en-AU" w:eastAsia="en-GB"/>
        </w:rPr>
        <w:t>Bunnings Group Ltd v Hanson Construction Materials Pty Ltd</w:t>
      </w:r>
      <w:r w:rsidRPr="00712A7E">
        <w:rPr>
          <w:rFonts w:ascii="Arial" w:eastAsia="Times New Roman" w:hAnsi="Arial" w:cs="Arial"/>
          <w:color w:val="212121"/>
          <w:sz w:val="16"/>
          <w:szCs w:val="16"/>
          <w:shd w:val="clear" w:color="auto" w:fill="FFFFFF"/>
          <w:lang w:val="en-AU" w:eastAsia="en-GB"/>
        </w:rPr>
        <w:t> </w:t>
      </w:r>
      <w:r w:rsidRPr="00712A7E">
        <w:rPr>
          <w:rFonts w:ascii="Arial" w:eastAsia="Times New Roman" w:hAnsi="Arial" w:cs="Arial"/>
          <w:color w:val="212121"/>
          <w:sz w:val="16"/>
          <w:szCs w:val="16"/>
          <w:bdr w:val="none" w:sz="0" w:space="0" w:color="auto" w:frame="1"/>
          <w:shd w:val="clear" w:color="auto" w:fill="FFFFFF"/>
          <w:lang w:val="en-AU" w:eastAsia="en-GB"/>
        </w:rPr>
        <w:t>[2017] WASC 132</w:t>
      </w:r>
      <w:r>
        <w:rPr>
          <w:rFonts w:ascii="Arial" w:eastAsia="Times New Roman" w:hAnsi="Arial" w:cs="Arial"/>
          <w:color w:val="212121"/>
          <w:sz w:val="16"/>
          <w:szCs w:val="16"/>
          <w:bdr w:val="none" w:sz="0" w:space="0" w:color="auto" w:frame="1"/>
          <w:shd w:val="clear" w:color="auto" w:fill="FFFFFF"/>
          <w:lang w:val="en-AU"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5C52" w14:textId="77777777" w:rsidR="00273B48" w:rsidRPr="000C4D37" w:rsidRDefault="00000000">
    <w:pPr>
      <w:pStyle w:val="Header"/>
      <w:rPr>
        <w:sz w:val="18"/>
        <w:szCs w:val="18"/>
      </w:rPr>
    </w:pPr>
    <w:sdt>
      <w:sdtPr>
        <w:rPr>
          <w:sz w:val="18"/>
          <w:szCs w:val="18"/>
        </w:rPr>
        <w:id w:val="565053097"/>
        <w:docPartObj>
          <w:docPartGallery w:val="Page Numbers (Top of Page)"/>
          <w:docPartUnique/>
        </w:docPartObj>
      </w:sdtPr>
      <w:sdtContent>
        <w:r w:rsidR="00273B48" w:rsidRPr="000C4D37">
          <w:rPr>
            <w:sz w:val="18"/>
            <w:szCs w:val="18"/>
          </w:rPr>
          <w:t xml:space="preserve">PAGE </w:t>
        </w:r>
        <w:r w:rsidR="00686385" w:rsidRPr="000C4D37">
          <w:rPr>
            <w:b/>
            <w:sz w:val="18"/>
            <w:szCs w:val="18"/>
          </w:rPr>
          <w:fldChar w:fldCharType="begin"/>
        </w:r>
        <w:r w:rsidR="00273B48" w:rsidRPr="000C4D37">
          <w:rPr>
            <w:b/>
            <w:sz w:val="18"/>
            <w:szCs w:val="18"/>
          </w:rPr>
          <w:instrText xml:space="preserve"> PAGE </w:instrText>
        </w:r>
        <w:r w:rsidR="00686385" w:rsidRPr="000C4D37">
          <w:rPr>
            <w:b/>
            <w:sz w:val="18"/>
            <w:szCs w:val="18"/>
          </w:rPr>
          <w:fldChar w:fldCharType="separate"/>
        </w:r>
        <w:r w:rsidR="00BA050D">
          <w:rPr>
            <w:b/>
            <w:noProof/>
            <w:sz w:val="18"/>
            <w:szCs w:val="18"/>
          </w:rPr>
          <w:t>28</w:t>
        </w:r>
        <w:r w:rsidR="00686385" w:rsidRPr="000C4D37">
          <w:rPr>
            <w:b/>
            <w:sz w:val="18"/>
            <w:szCs w:val="18"/>
          </w:rPr>
          <w:fldChar w:fldCharType="end"/>
        </w:r>
        <w:r w:rsidR="00273B48" w:rsidRPr="000C4D37">
          <w:rPr>
            <w:sz w:val="18"/>
            <w:szCs w:val="18"/>
          </w:rPr>
          <w:t xml:space="preserve"> OF </w:t>
        </w:r>
        <w:r w:rsidR="00686385" w:rsidRPr="000C4D37">
          <w:rPr>
            <w:b/>
            <w:sz w:val="18"/>
            <w:szCs w:val="18"/>
          </w:rPr>
          <w:fldChar w:fldCharType="begin"/>
        </w:r>
        <w:r w:rsidR="00273B48" w:rsidRPr="000C4D37">
          <w:rPr>
            <w:b/>
            <w:sz w:val="18"/>
            <w:szCs w:val="18"/>
          </w:rPr>
          <w:instrText xml:space="preserve"> NUMPAGES  </w:instrText>
        </w:r>
        <w:r w:rsidR="00686385" w:rsidRPr="000C4D37">
          <w:rPr>
            <w:b/>
            <w:sz w:val="18"/>
            <w:szCs w:val="18"/>
          </w:rPr>
          <w:fldChar w:fldCharType="separate"/>
        </w:r>
        <w:r w:rsidR="00BA050D">
          <w:rPr>
            <w:b/>
            <w:noProof/>
            <w:sz w:val="18"/>
            <w:szCs w:val="18"/>
          </w:rPr>
          <w:t>28</w:t>
        </w:r>
        <w:r w:rsidR="00686385" w:rsidRPr="000C4D37">
          <w:rPr>
            <w:b/>
            <w:sz w:val="18"/>
            <w:szCs w:val="18"/>
          </w:rPr>
          <w:fldChar w:fldCharType="end"/>
        </w:r>
      </w:sdtContent>
    </w:sdt>
  </w:p>
  <w:p w14:paraId="62D36CB6" w14:textId="77777777" w:rsidR="00273B48" w:rsidRDefault="00273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8E31" w14:textId="77777777" w:rsidR="00273B48" w:rsidRDefault="00273B48" w:rsidP="0015057C">
    <w:pPr>
      <w:pStyle w:val="Header"/>
      <w:tabs>
        <w:tab w:val="clear" w:pos="4513"/>
        <w:tab w:val="clear" w:pos="9026"/>
        <w:tab w:val="left" w:pos="74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2452"/>
    <w:multiLevelType w:val="multilevel"/>
    <w:tmpl w:val="FEF8233E"/>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DEB6682"/>
    <w:multiLevelType w:val="multilevel"/>
    <w:tmpl w:val="9CDAC76C"/>
    <w:name w:val="StandardBulletedList"/>
    <w:lvl w:ilvl="0">
      <w:start w:val="1"/>
      <w:numFmt w:val="bullet"/>
      <w:lvlText w:val="•"/>
      <w:lvlJc w:val="left"/>
      <w:pPr>
        <w:tabs>
          <w:tab w:val="num" w:pos="472"/>
        </w:tabs>
        <w:ind w:left="472" w:hanging="472"/>
      </w:pPr>
      <w:rPr>
        <w:rFonts w:ascii="Times New Roman" w:hAnsi="Times New Roman" w:cs="Times New Roman" w:hint="default"/>
      </w:rPr>
    </w:lvl>
    <w:lvl w:ilvl="1">
      <w:start w:val="1"/>
      <w:numFmt w:val="bullet"/>
      <w:lvlText w:val="–"/>
      <w:lvlJc w:val="left"/>
      <w:pPr>
        <w:tabs>
          <w:tab w:val="num" w:pos="992"/>
        </w:tabs>
        <w:ind w:left="992" w:hanging="520"/>
      </w:pPr>
      <w:rPr>
        <w:rFonts w:ascii="Times New Roman" w:hAnsi="Times New Roman" w:cs="Times New Roman"/>
      </w:rPr>
    </w:lvl>
    <w:lvl w:ilvl="2">
      <w:start w:val="1"/>
      <w:numFmt w:val="bullet"/>
      <w:lvlText w:val=":"/>
      <w:lvlJc w:val="left"/>
      <w:pPr>
        <w:tabs>
          <w:tab w:val="num" w:pos="1464"/>
        </w:tabs>
        <w:ind w:left="1464" w:hanging="472"/>
      </w:pPr>
      <w:rPr>
        <w:rFonts w:ascii="Times New Roman" w:hAnsi="Times New Roman" w:cs="Times New Roman"/>
      </w:rPr>
    </w:lvl>
    <w:lvl w:ilvl="3">
      <w:start w:val="1"/>
      <w:numFmt w:val="decimal"/>
      <w:lvlText w:val="(%4)"/>
      <w:lvlJc w:val="left"/>
      <w:pPr>
        <w:ind w:left="6447" w:hanging="360"/>
      </w:pPr>
    </w:lvl>
    <w:lvl w:ilvl="4">
      <w:start w:val="1"/>
      <w:numFmt w:val="lowerLetter"/>
      <w:lvlText w:val="(%5)"/>
      <w:lvlJc w:val="left"/>
      <w:pPr>
        <w:ind w:left="6807" w:hanging="360"/>
      </w:pPr>
    </w:lvl>
    <w:lvl w:ilvl="5">
      <w:start w:val="1"/>
      <w:numFmt w:val="lowerRoman"/>
      <w:lvlText w:val="(%6)"/>
      <w:lvlJc w:val="left"/>
      <w:pPr>
        <w:ind w:left="7167" w:hanging="360"/>
      </w:pPr>
    </w:lvl>
    <w:lvl w:ilvl="6">
      <w:start w:val="1"/>
      <w:numFmt w:val="decimal"/>
      <w:lvlText w:val="%7."/>
      <w:lvlJc w:val="left"/>
      <w:pPr>
        <w:ind w:left="7527" w:hanging="360"/>
      </w:pPr>
    </w:lvl>
    <w:lvl w:ilvl="7">
      <w:start w:val="1"/>
      <w:numFmt w:val="lowerLetter"/>
      <w:lvlText w:val="%8."/>
      <w:lvlJc w:val="left"/>
      <w:pPr>
        <w:ind w:left="7887" w:hanging="360"/>
      </w:pPr>
    </w:lvl>
    <w:lvl w:ilvl="8">
      <w:start w:val="1"/>
      <w:numFmt w:val="lowerRoman"/>
      <w:lvlText w:val="%9."/>
      <w:lvlJc w:val="left"/>
      <w:pPr>
        <w:ind w:left="8247" w:hanging="360"/>
      </w:pPr>
    </w:lvl>
  </w:abstractNum>
  <w:abstractNum w:abstractNumId="2" w15:restartNumberingAfterBreak="0">
    <w:nsid w:val="1F7620DB"/>
    <w:multiLevelType w:val="multilevel"/>
    <w:tmpl w:val="FEF8233E"/>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D02A8E"/>
    <w:multiLevelType w:val="hybridMultilevel"/>
    <w:tmpl w:val="81C4C0D2"/>
    <w:lvl w:ilvl="0" w:tplc="04090019">
      <w:start w:val="1"/>
      <w:numFmt w:val="lowerLetter"/>
      <w:lvlText w:val="%1."/>
      <w:lvlJc w:val="left"/>
      <w:pPr>
        <w:ind w:left="360" w:hanging="360"/>
      </w:pPr>
      <w:rPr>
        <w:rFonts w:hint="default"/>
        <w:b w:val="0"/>
        <w:i w:val="0"/>
        <w:caps w:val="0"/>
        <w:strike w:val="0"/>
        <w:dstrike w:val="0"/>
        <w:vanish w:val="0"/>
        <w:color w:val="auto"/>
        <w:sz w:val="22"/>
        <w:vertAlign w:val="baseline"/>
      </w:rPr>
    </w:lvl>
    <w:lvl w:ilvl="1" w:tplc="5E568250">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4C4BBA"/>
    <w:multiLevelType w:val="multilevel"/>
    <w:tmpl w:val="CFDA985C"/>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B11584F"/>
    <w:multiLevelType w:val="hybridMultilevel"/>
    <w:tmpl w:val="43AEE9B8"/>
    <w:lvl w:ilvl="0" w:tplc="04090019">
      <w:start w:val="1"/>
      <w:numFmt w:val="lowerLetter"/>
      <w:lvlText w:val="%1."/>
      <w:lvlJc w:val="left"/>
      <w:pPr>
        <w:ind w:left="360" w:hanging="360"/>
      </w:pPr>
      <w:rPr>
        <w:rFonts w:hint="default"/>
        <w:b w:val="0"/>
        <w:i w:val="0"/>
        <w:caps w:val="0"/>
        <w:strike w:val="0"/>
        <w:dstrike w:val="0"/>
        <w:vanish w:val="0"/>
        <w:color w:val="auto"/>
        <w:sz w:val="22"/>
        <w:vertAlign w:val="baseline"/>
      </w:rPr>
    </w:lvl>
    <w:lvl w:ilvl="1" w:tplc="5E568250">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3152A9"/>
    <w:multiLevelType w:val="multilevel"/>
    <w:tmpl w:val="DDD82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D62432"/>
    <w:multiLevelType w:val="multilevel"/>
    <w:tmpl w:val="7B4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D4281"/>
    <w:multiLevelType w:val="multilevel"/>
    <w:tmpl w:val="FEF8233E"/>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AD67103"/>
    <w:multiLevelType w:val="hybridMultilevel"/>
    <w:tmpl w:val="9CBC6790"/>
    <w:lvl w:ilvl="0" w:tplc="04090019">
      <w:start w:val="1"/>
      <w:numFmt w:val="lowerLetter"/>
      <w:lvlText w:val="%1."/>
      <w:lvlJc w:val="left"/>
      <w:pPr>
        <w:ind w:left="360" w:hanging="360"/>
      </w:pPr>
      <w:rPr>
        <w:rFonts w:hint="default"/>
        <w:b w:val="0"/>
        <w:i w:val="0"/>
        <w:caps w:val="0"/>
        <w:strike w:val="0"/>
        <w:dstrike w:val="0"/>
        <w:vanish w:val="0"/>
        <w:color w:val="auto"/>
        <w:sz w:val="22"/>
        <w:vertAlign w:val="baseline"/>
      </w:rPr>
    </w:lvl>
    <w:lvl w:ilvl="1" w:tplc="5E568250">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A016CA"/>
    <w:multiLevelType w:val="multilevel"/>
    <w:tmpl w:val="0854E70A"/>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136755"/>
    <w:multiLevelType w:val="multilevel"/>
    <w:tmpl w:val="FEF8233E"/>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BCB7CA6"/>
    <w:multiLevelType w:val="hybridMultilevel"/>
    <w:tmpl w:val="6E5671F4"/>
    <w:lvl w:ilvl="0" w:tplc="0409001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95C651B"/>
    <w:multiLevelType w:val="multilevel"/>
    <w:tmpl w:val="FC64463E"/>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6" w15:restartNumberingAfterBreak="0">
    <w:nsid w:val="61FB204D"/>
    <w:multiLevelType w:val="hybridMultilevel"/>
    <w:tmpl w:val="DFBA926A"/>
    <w:lvl w:ilvl="0" w:tplc="04090019">
      <w:start w:val="1"/>
      <w:numFmt w:val="lowerLetter"/>
      <w:lvlText w:val="%1."/>
      <w:lvlJc w:val="left"/>
      <w:pPr>
        <w:ind w:left="360" w:hanging="360"/>
      </w:pPr>
      <w:rPr>
        <w:rFonts w:hint="default"/>
        <w:b w:val="0"/>
        <w:i w:val="0"/>
        <w:caps w:val="0"/>
        <w:strike w:val="0"/>
        <w:dstrike w:val="0"/>
        <w:vanish w:val="0"/>
        <w:color w:val="auto"/>
        <w:sz w:val="22"/>
        <w:vertAlign w:val="baseline"/>
      </w:rPr>
    </w:lvl>
    <w:lvl w:ilvl="1" w:tplc="5E568250">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DF6494"/>
    <w:multiLevelType w:val="multilevel"/>
    <w:tmpl w:val="A316FE50"/>
    <w:numStyleLink w:val="ChapterList"/>
  </w:abstractNum>
  <w:abstractNum w:abstractNumId="18" w15:restartNumberingAfterBreak="0">
    <w:nsid w:val="66EC2D4D"/>
    <w:multiLevelType w:val="multilevel"/>
    <w:tmpl w:val="B59CB474"/>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ascii="Arial" w:hAnsi="Arial" w:hint="default"/>
        <w:b w:val="0"/>
        <w:i w:val="0"/>
        <w:color w:val="auto"/>
        <w:sz w:val="22"/>
        <w:u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98B4145"/>
    <w:multiLevelType w:val="hybridMultilevel"/>
    <w:tmpl w:val="8D882B2A"/>
    <w:lvl w:ilvl="0" w:tplc="8910C2A8">
      <w:start w:val="1"/>
      <w:numFmt w:val="decimal"/>
      <w:pStyle w:val="NumberedParagraph"/>
      <w:lvlText w:val="%1."/>
      <w:lvlJc w:val="left"/>
      <w:pPr>
        <w:ind w:left="360" w:hanging="360"/>
      </w:pPr>
      <w:rPr>
        <w:rFonts w:ascii="Arial" w:hAnsi="Arial" w:cs="Arial" w:hint="default"/>
        <w:b w:val="0"/>
        <w:i w:val="0"/>
        <w:caps w:val="0"/>
        <w:strike w:val="0"/>
        <w:dstrike w:val="0"/>
        <w:vanish w:val="0"/>
        <w:color w:val="auto"/>
        <w:sz w:val="22"/>
        <w:vertAlign w:val="baseline"/>
      </w:rPr>
    </w:lvl>
    <w:lvl w:ilvl="1" w:tplc="49245964">
      <w:start w:val="1"/>
      <w:numFmt w:val="lowerLetter"/>
      <w:lvlText w:val="%2."/>
      <w:lvlJc w:val="left"/>
      <w:pPr>
        <w:ind w:left="1440" w:hanging="360"/>
      </w:pPr>
      <w:rPr>
        <w:b w:val="0"/>
        <w:color w:val="auto"/>
      </w:rPr>
    </w:lvl>
    <w:lvl w:ilvl="2" w:tplc="7A709122">
      <w:start w:val="1"/>
      <w:numFmt w:val="lowerRoman"/>
      <w:pStyle w:val="Style1"/>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0B2BD5"/>
    <w:multiLevelType w:val="hybridMultilevel"/>
    <w:tmpl w:val="6C3A8C02"/>
    <w:lvl w:ilvl="0" w:tplc="0409001B">
      <w:start w:val="1"/>
      <w:numFmt w:val="lowerRoman"/>
      <w:lvlText w:val="%1."/>
      <w:lvlJc w:val="right"/>
      <w:pPr>
        <w:ind w:left="360" w:hanging="360"/>
      </w:pPr>
      <w:rPr>
        <w:rFonts w:hint="default"/>
        <w:b w:val="0"/>
        <w:i w:val="0"/>
        <w:caps w:val="0"/>
        <w:strike w:val="0"/>
        <w:dstrike w:val="0"/>
        <w:vanish w:val="0"/>
        <w:color w:val="auto"/>
        <w:sz w:val="22"/>
        <w:vertAlign w:val="baseline"/>
      </w:rPr>
    </w:lvl>
    <w:lvl w:ilvl="1" w:tplc="5E568250">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447FA3"/>
    <w:multiLevelType w:val="multilevel"/>
    <w:tmpl w:val="B59CB474"/>
    <w:lvl w:ilvl="0">
      <w:start w:val="1"/>
      <w:numFmt w:val="lowerLetter"/>
      <w:lvlText w:val="%1."/>
      <w:lvlJc w:val="right"/>
      <w:pPr>
        <w:ind w:left="540" w:hanging="180"/>
      </w:pPr>
      <w:rPr>
        <w:rFonts w:hint="default"/>
      </w:rPr>
    </w:lvl>
    <w:lvl w:ilvl="1">
      <w:start w:val="1"/>
      <w:numFmt w:val="lowerLetter"/>
      <w:lvlText w:val="%2."/>
      <w:lvlJc w:val="left"/>
      <w:pPr>
        <w:ind w:left="1440" w:hanging="360"/>
      </w:pPr>
      <w:rPr>
        <w:rFonts w:ascii="Arial" w:hAnsi="Arial" w:hint="default"/>
        <w:b w:val="0"/>
        <w:i w:val="0"/>
        <w:color w:val="auto"/>
        <w:sz w:val="22"/>
        <w:u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63709012">
    <w:abstractNumId w:val="19"/>
  </w:num>
  <w:num w:numId="2" w16cid:durableId="396052709">
    <w:abstractNumId w:val="8"/>
  </w:num>
  <w:num w:numId="3" w16cid:durableId="543444704">
    <w:abstractNumId w:val="0"/>
  </w:num>
  <w:num w:numId="4" w16cid:durableId="1889872550">
    <w:abstractNumId w:val="12"/>
  </w:num>
  <w:num w:numId="5" w16cid:durableId="1123966248">
    <w:abstractNumId w:val="2"/>
  </w:num>
  <w:num w:numId="6" w16cid:durableId="1483237759">
    <w:abstractNumId w:val="4"/>
  </w:num>
  <w:num w:numId="7" w16cid:durableId="1423330258">
    <w:abstractNumId w:val="14"/>
  </w:num>
  <w:num w:numId="8" w16cid:durableId="1198160731">
    <w:abstractNumId w:val="11"/>
  </w:num>
  <w:num w:numId="9" w16cid:durableId="1755858531">
    <w:abstractNumId w:val="21"/>
  </w:num>
  <w:num w:numId="10" w16cid:durableId="1602184541">
    <w:abstractNumId w:val="18"/>
  </w:num>
  <w:num w:numId="11" w16cid:durableId="1957176096">
    <w:abstractNumId w:val="13"/>
  </w:num>
  <w:num w:numId="12" w16cid:durableId="1913007047">
    <w:abstractNumId w:val="5"/>
  </w:num>
  <w:num w:numId="13" w16cid:durableId="879786007">
    <w:abstractNumId w:val="9"/>
  </w:num>
  <w:num w:numId="14" w16cid:durableId="1713768910">
    <w:abstractNumId w:val="20"/>
  </w:num>
  <w:num w:numId="15" w16cid:durableId="1988389623">
    <w:abstractNumId w:val="3"/>
  </w:num>
  <w:num w:numId="16" w16cid:durableId="785732298">
    <w:abstractNumId w:val="16"/>
  </w:num>
  <w:num w:numId="17" w16cid:durableId="1561864517">
    <w:abstractNumId w:val="10"/>
  </w:num>
  <w:num w:numId="18" w16cid:durableId="1800764745">
    <w:abstractNumId w:val="17"/>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bCs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1355812137">
    <w:abstractNumId w:val="22"/>
  </w:num>
  <w:num w:numId="20" w16cid:durableId="1190726323">
    <w:abstractNumId w:val="15"/>
  </w:num>
  <w:num w:numId="21" w16cid:durableId="694964673">
    <w:abstractNumId w:val="1"/>
  </w:num>
  <w:num w:numId="22" w16cid:durableId="479348517">
    <w:abstractNumId w:val="6"/>
  </w:num>
  <w:num w:numId="23" w16cid:durableId="183233488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80"/>
    <w:rsid w:val="00005A6F"/>
    <w:rsid w:val="00011300"/>
    <w:rsid w:val="00012CD2"/>
    <w:rsid w:val="00015E85"/>
    <w:rsid w:val="00021D6F"/>
    <w:rsid w:val="00026514"/>
    <w:rsid w:val="000310BE"/>
    <w:rsid w:val="00032ACC"/>
    <w:rsid w:val="0003529A"/>
    <w:rsid w:val="000352D1"/>
    <w:rsid w:val="0004690B"/>
    <w:rsid w:val="000564FD"/>
    <w:rsid w:val="00057275"/>
    <w:rsid w:val="00064015"/>
    <w:rsid w:val="0008015B"/>
    <w:rsid w:val="0009100B"/>
    <w:rsid w:val="00095E77"/>
    <w:rsid w:val="00096115"/>
    <w:rsid w:val="000A21DE"/>
    <w:rsid w:val="000B0053"/>
    <w:rsid w:val="000B5937"/>
    <w:rsid w:val="000B6E45"/>
    <w:rsid w:val="000C10EF"/>
    <w:rsid w:val="000C42C3"/>
    <w:rsid w:val="000C4D37"/>
    <w:rsid w:val="000D311A"/>
    <w:rsid w:val="000D3E58"/>
    <w:rsid w:val="000D71E1"/>
    <w:rsid w:val="000D776F"/>
    <w:rsid w:val="000E36DC"/>
    <w:rsid w:val="000F15A2"/>
    <w:rsid w:val="000F210F"/>
    <w:rsid w:val="000F2F9E"/>
    <w:rsid w:val="000F5464"/>
    <w:rsid w:val="00104A9F"/>
    <w:rsid w:val="001123AC"/>
    <w:rsid w:val="00112879"/>
    <w:rsid w:val="00112999"/>
    <w:rsid w:val="00114B10"/>
    <w:rsid w:val="00114F67"/>
    <w:rsid w:val="001221CF"/>
    <w:rsid w:val="001225D6"/>
    <w:rsid w:val="00127828"/>
    <w:rsid w:val="00134F96"/>
    <w:rsid w:val="0014051D"/>
    <w:rsid w:val="0015057C"/>
    <w:rsid w:val="001509E0"/>
    <w:rsid w:val="00163C84"/>
    <w:rsid w:val="00167ED9"/>
    <w:rsid w:val="001707A3"/>
    <w:rsid w:val="00171BC1"/>
    <w:rsid w:val="00177E01"/>
    <w:rsid w:val="00181439"/>
    <w:rsid w:val="001858E9"/>
    <w:rsid w:val="001A7FB0"/>
    <w:rsid w:val="001C1E6F"/>
    <w:rsid w:val="001C3CFB"/>
    <w:rsid w:val="001E56AF"/>
    <w:rsid w:val="001F299A"/>
    <w:rsid w:val="001F3611"/>
    <w:rsid w:val="00204FB0"/>
    <w:rsid w:val="00207DDC"/>
    <w:rsid w:val="002270C0"/>
    <w:rsid w:val="002326FB"/>
    <w:rsid w:val="00236FBF"/>
    <w:rsid w:val="00252978"/>
    <w:rsid w:val="00252A6F"/>
    <w:rsid w:val="00253AE7"/>
    <w:rsid w:val="00253DD8"/>
    <w:rsid w:val="00263F4B"/>
    <w:rsid w:val="00271804"/>
    <w:rsid w:val="0027374A"/>
    <w:rsid w:val="00273B48"/>
    <w:rsid w:val="00282808"/>
    <w:rsid w:val="00297EC7"/>
    <w:rsid w:val="002A594B"/>
    <w:rsid w:val="002C0C03"/>
    <w:rsid w:val="002C292C"/>
    <w:rsid w:val="002C4154"/>
    <w:rsid w:val="002C448A"/>
    <w:rsid w:val="002E5B91"/>
    <w:rsid w:val="003117A8"/>
    <w:rsid w:val="0031503E"/>
    <w:rsid w:val="00327225"/>
    <w:rsid w:val="00330F2F"/>
    <w:rsid w:val="00337D9E"/>
    <w:rsid w:val="00342CDE"/>
    <w:rsid w:val="00346D1B"/>
    <w:rsid w:val="00360030"/>
    <w:rsid w:val="00377764"/>
    <w:rsid w:val="00393CA9"/>
    <w:rsid w:val="0039641B"/>
    <w:rsid w:val="003A21E1"/>
    <w:rsid w:val="003A335B"/>
    <w:rsid w:val="003A6AE1"/>
    <w:rsid w:val="003B7053"/>
    <w:rsid w:val="003C746B"/>
    <w:rsid w:val="003D3F41"/>
    <w:rsid w:val="003D5FC6"/>
    <w:rsid w:val="003E3CC3"/>
    <w:rsid w:val="003E6967"/>
    <w:rsid w:val="00405254"/>
    <w:rsid w:val="0041268A"/>
    <w:rsid w:val="00412750"/>
    <w:rsid w:val="0042084F"/>
    <w:rsid w:val="0042196A"/>
    <w:rsid w:val="00423FC0"/>
    <w:rsid w:val="0043768D"/>
    <w:rsid w:val="004400BC"/>
    <w:rsid w:val="00442192"/>
    <w:rsid w:val="0044339D"/>
    <w:rsid w:val="00452F03"/>
    <w:rsid w:val="004605C3"/>
    <w:rsid w:val="00462224"/>
    <w:rsid w:val="00463653"/>
    <w:rsid w:val="00471C28"/>
    <w:rsid w:val="00492E5C"/>
    <w:rsid w:val="00494032"/>
    <w:rsid w:val="00496D7B"/>
    <w:rsid w:val="004A0295"/>
    <w:rsid w:val="004A1E88"/>
    <w:rsid w:val="004B6002"/>
    <w:rsid w:val="004C12BB"/>
    <w:rsid w:val="004C5104"/>
    <w:rsid w:val="004C7E03"/>
    <w:rsid w:val="004D0445"/>
    <w:rsid w:val="004D1771"/>
    <w:rsid w:val="004E39DF"/>
    <w:rsid w:val="004E6DE0"/>
    <w:rsid w:val="004E7886"/>
    <w:rsid w:val="004E7E95"/>
    <w:rsid w:val="0050355E"/>
    <w:rsid w:val="0050626D"/>
    <w:rsid w:val="0051242F"/>
    <w:rsid w:val="00512E95"/>
    <w:rsid w:val="00520162"/>
    <w:rsid w:val="00535001"/>
    <w:rsid w:val="00550763"/>
    <w:rsid w:val="00553573"/>
    <w:rsid w:val="0055467A"/>
    <w:rsid w:val="005566BD"/>
    <w:rsid w:val="00575FB3"/>
    <w:rsid w:val="00576C6E"/>
    <w:rsid w:val="00586142"/>
    <w:rsid w:val="00595CFF"/>
    <w:rsid w:val="005A5C6C"/>
    <w:rsid w:val="005B021B"/>
    <w:rsid w:val="005B10BD"/>
    <w:rsid w:val="005B366C"/>
    <w:rsid w:val="005C0211"/>
    <w:rsid w:val="005C0EF9"/>
    <w:rsid w:val="005C3658"/>
    <w:rsid w:val="005C4167"/>
    <w:rsid w:val="005D06FE"/>
    <w:rsid w:val="005D07AB"/>
    <w:rsid w:val="005D3880"/>
    <w:rsid w:val="005F6041"/>
    <w:rsid w:val="00611EDB"/>
    <w:rsid w:val="00612309"/>
    <w:rsid w:val="006127C2"/>
    <w:rsid w:val="00620A55"/>
    <w:rsid w:val="00622CA5"/>
    <w:rsid w:val="00632EEE"/>
    <w:rsid w:val="0063303F"/>
    <w:rsid w:val="00635C2B"/>
    <w:rsid w:val="00643918"/>
    <w:rsid w:val="006469F2"/>
    <w:rsid w:val="00651CBA"/>
    <w:rsid w:val="00654E0C"/>
    <w:rsid w:val="00660C46"/>
    <w:rsid w:val="006612E8"/>
    <w:rsid w:val="00663B89"/>
    <w:rsid w:val="0066701C"/>
    <w:rsid w:val="0067361C"/>
    <w:rsid w:val="00677D6F"/>
    <w:rsid w:val="00685027"/>
    <w:rsid w:val="00686385"/>
    <w:rsid w:val="00692ACE"/>
    <w:rsid w:val="00692BF4"/>
    <w:rsid w:val="006A4BBB"/>
    <w:rsid w:val="006A53E5"/>
    <w:rsid w:val="006A7463"/>
    <w:rsid w:val="006B3FE3"/>
    <w:rsid w:val="006C35EC"/>
    <w:rsid w:val="006E3C2F"/>
    <w:rsid w:val="007002DA"/>
    <w:rsid w:val="00705DA1"/>
    <w:rsid w:val="007066F5"/>
    <w:rsid w:val="00712A7E"/>
    <w:rsid w:val="00712C72"/>
    <w:rsid w:val="00726800"/>
    <w:rsid w:val="00732F42"/>
    <w:rsid w:val="007450AF"/>
    <w:rsid w:val="00745766"/>
    <w:rsid w:val="007518E8"/>
    <w:rsid w:val="007527B3"/>
    <w:rsid w:val="00774563"/>
    <w:rsid w:val="00776729"/>
    <w:rsid w:val="00790B19"/>
    <w:rsid w:val="00792469"/>
    <w:rsid w:val="0079394E"/>
    <w:rsid w:val="007A2675"/>
    <w:rsid w:val="007A4CAB"/>
    <w:rsid w:val="007C61FA"/>
    <w:rsid w:val="007D0DAA"/>
    <w:rsid w:val="007E0315"/>
    <w:rsid w:val="007E2C5E"/>
    <w:rsid w:val="007E5078"/>
    <w:rsid w:val="007F0801"/>
    <w:rsid w:val="007F3BDA"/>
    <w:rsid w:val="00802C9F"/>
    <w:rsid w:val="00812BB9"/>
    <w:rsid w:val="00813948"/>
    <w:rsid w:val="00816A8C"/>
    <w:rsid w:val="0082424C"/>
    <w:rsid w:val="008365FE"/>
    <w:rsid w:val="008376DE"/>
    <w:rsid w:val="00840A85"/>
    <w:rsid w:val="00846556"/>
    <w:rsid w:val="00853248"/>
    <w:rsid w:val="00857A28"/>
    <w:rsid w:val="00872B0F"/>
    <w:rsid w:val="00873989"/>
    <w:rsid w:val="0088299E"/>
    <w:rsid w:val="00886C97"/>
    <w:rsid w:val="0089349D"/>
    <w:rsid w:val="00893BDD"/>
    <w:rsid w:val="00893C7D"/>
    <w:rsid w:val="008977DC"/>
    <w:rsid w:val="008A18F8"/>
    <w:rsid w:val="008A7287"/>
    <w:rsid w:val="008B0ADA"/>
    <w:rsid w:val="008C5872"/>
    <w:rsid w:val="008D089F"/>
    <w:rsid w:val="008D0D2A"/>
    <w:rsid w:val="008D115D"/>
    <w:rsid w:val="008D2524"/>
    <w:rsid w:val="008E0C21"/>
    <w:rsid w:val="008E428B"/>
    <w:rsid w:val="008F4309"/>
    <w:rsid w:val="008F43F4"/>
    <w:rsid w:val="00901AD4"/>
    <w:rsid w:val="00904DF3"/>
    <w:rsid w:val="00907DF5"/>
    <w:rsid w:val="00913CF7"/>
    <w:rsid w:val="009151A1"/>
    <w:rsid w:val="00920EE0"/>
    <w:rsid w:val="00924372"/>
    <w:rsid w:val="009270AA"/>
    <w:rsid w:val="00934363"/>
    <w:rsid w:val="00942CC4"/>
    <w:rsid w:val="00942E38"/>
    <w:rsid w:val="00944F13"/>
    <w:rsid w:val="00945043"/>
    <w:rsid w:val="009461C4"/>
    <w:rsid w:val="0095009B"/>
    <w:rsid w:val="00950C19"/>
    <w:rsid w:val="009526AD"/>
    <w:rsid w:val="009532FF"/>
    <w:rsid w:val="009704FC"/>
    <w:rsid w:val="00973CF9"/>
    <w:rsid w:val="00981DE5"/>
    <w:rsid w:val="00990CDF"/>
    <w:rsid w:val="00991DA9"/>
    <w:rsid w:val="00992C0D"/>
    <w:rsid w:val="009978FA"/>
    <w:rsid w:val="00997B20"/>
    <w:rsid w:val="009A1D54"/>
    <w:rsid w:val="009A2E01"/>
    <w:rsid w:val="009B5C14"/>
    <w:rsid w:val="009B5DA6"/>
    <w:rsid w:val="009C223D"/>
    <w:rsid w:val="009C7425"/>
    <w:rsid w:val="009D2A9E"/>
    <w:rsid w:val="009D3AC0"/>
    <w:rsid w:val="009D4F92"/>
    <w:rsid w:val="009E4480"/>
    <w:rsid w:val="009F0810"/>
    <w:rsid w:val="009F2031"/>
    <w:rsid w:val="009F72D8"/>
    <w:rsid w:val="00A04E30"/>
    <w:rsid w:val="00A04EC0"/>
    <w:rsid w:val="00A06B7C"/>
    <w:rsid w:val="00A0794B"/>
    <w:rsid w:val="00A22AB8"/>
    <w:rsid w:val="00A306DF"/>
    <w:rsid w:val="00A47FCD"/>
    <w:rsid w:val="00A90326"/>
    <w:rsid w:val="00A95EEF"/>
    <w:rsid w:val="00AA0C7D"/>
    <w:rsid w:val="00AA1165"/>
    <w:rsid w:val="00AA6610"/>
    <w:rsid w:val="00AB7BA7"/>
    <w:rsid w:val="00AC0491"/>
    <w:rsid w:val="00AC4C88"/>
    <w:rsid w:val="00AD1679"/>
    <w:rsid w:val="00AD2255"/>
    <w:rsid w:val="00AD77DC"/>
    <w:rsid w:val="00AE5F20"/>
    <w:rsid w:val="00AE7FC2"/>
    <w:rsid w:val="00AF24AD"/>
    <w:rsid w:val="00AF41E3"/>
    <w:rsid w:val="00B0432E"/>
    <w:rsid w:val="00B15825"/>
    <w:rsid w:val="00B15A50"/>
    <w:rsid w:val="00B31716"/>
    <w:rsid w:val="00B427A7"/>
    <w:rsid w:val="00B46472"/>
    <w:rsid w:val="00B51EBB"/>
    <w:rsid w:val="00B551FE"/>
    <w:rsid w:val="00B63C81"/>
    <w:rsid w:val="00B6416E"/>
    <w:rsid w:val="00B70C04"/>
    <w:rsid w:val="00B823AB"/>
    <w:rsid w:val="00B83CFB"/>
    <w:rsid w:val="00BA0500"/>
    <w:rsid w:val="00BA050D"/>
    <w:rsid w:val="00BA6025"/>
    <w:rsid w:val="00BC7292"/>
    <w:rsid w:val="00BC7CAC"/>
    <w:rsid w:val="00BD0EAB"/>
    <w:rsid w:val="00BD20D6"/>
    <w:rsid w:val="00BD61D7"/>
    <w:rsid w:val="00BD6C6E"/>
    <w:rsid w:val="00BE08CC"/>
    <w:rsid w:val="00BE4E35"/>
    <w:rsid w:val="00BE6DF6"/>
    <w:rsid w:val="00BF0FD0"/>
    <w:rsid w:val="00C04BF2"/>
    <w:rsid w:val="00C066D6"/>
    <w:rsid w:val="00C21B66"/>
    <w:rsid w:val="00C22C55"/>
    <w:rsid w:val="00C31626"/>
    <w:rsid w:val="00C35E9A"/>
    <w:rsid w:val="00C371E9"/>
    <w:rsid w:val="00C411C5"/>
    <w:rsid w:val="00C42579"/>
    <w:rsid w:val="00C465E1"/>
    <w:rsid w:val="00C554EA"/>
    <w:rsid w:val="00C60333"/>
    <w:rsid w:val="00C6487B"/>
    <w:rsid w:val="00C77A2F"/>
    <w:rsid w:val="00C868D8"/>
    <w:rsid w:val="00C90094"/>
    <w:rsid w:val="00CA1D90"/>
    <w:rsid w:val="00CA4374"/>
    <w:rsid w:val="00CA57C1"/>
    <w:rsid w:val="00CB2970"/>
    <w:rsid w:val="00CC1903"/>
    <w:rsid w:val="00CC248B"/>
    <w:rsid w:val="00CD0F05"/>
    <w:rsid w:val="00CD63BB"/>
    <w:rsid w:val="00D003D8"/>
    <w:rsid w:val="00D11E4F"/>
    <w:rsid w:val="00D24980"/>
    <w:rsid w:val="00D2712B"/>
    <w:rsid w:val="00D32670"/>
    <w:rsid w:val="00D37C7C"/>
    <w:rsid w:val="00D44C7F"/>
    <w:rsid w:val="00D60A09"/>
    <w:rsid w:val="00D65500"/>
    <w:rsid w:val="00D70C67"/>
    <w:rsid w:val="00D71443"/>
    <w:rsid w:val="00D7203F"/>
    <w:rsid w:val="00D7618A"/>
    <w:rsid w:val="00D95739"/>
    <w:rsid w:val="00DA1534"/>
    <w:rsid w:val="00DA2F03"/>
    <w:rsid w:val="00DB3D8D"/>
    <w:rsid w:val="00DC52E3"/>
    <w:rsid w:val="00DC5F31"/>
    <w:rsid w:val="00DD2CD2"/>
    <w:rsid w:val="00DE0F39"/>
    <w:rsid w:val="00DF0E65"/>
    <w:rsid w:val="00E0451C"/>
    <w:rsid w:val="00E11BAA"/>
    <w:rsid w:val="00E1435E"/>
    <w:rsid w:val="00E23D2D"/>
    <w:rsid w:val="00E25BF5"/>
    <w:rsid w:val="00E30A60"/>
    <w:rsid w:val="00E51AC0"/>
    <w:rsid w:val="00E6207C"/>
    <w:rsid w:val="00E63ABD"/>
    <w:rsid w:val="00E706D6"/>
    <w:rsid w:val="00E71A91"/>
    <w:rsid w:val="00E77E01"/>
    <w:rsid w:val="00E84E83"/>
    <w:rsid w:val="00E85A74"/>
    <w:rsid w:val="00E9482C"/>
    <w:rsid w:val="00EA1795"/>
    <w:rsid w:val="00EA2F50"/>
    <w:rsid w:val="00EB3F05"/>
    <w:rsid w:val="00EB4923"/>
    <w:rsid w:val="00EB5B7B"/>
    <w:rsid w:val="00EB69AA"/>
    <w:rsid w:val="00ED1E88"/>
    <w:rsid w:val="00ED27A4"/>
    <w:rsid w:val="00EE1BC4"/>
    <w:rsid w:val="00EF4F81"/>
    <w:rsid w:val="00EF5400"/>
    <w:rsid w:val="00EF6C11"/>
    <w:rsid w:val="00F02ABC"/>
    <w:rsid w:val="00F05E23"/>
    <w:rsid w:val="00F05EFA"/>
    <w:rsid w:val="00F072F2"/>
    <w:rsid w:val="00F07A4C"/>
    <w:rsid w:val="00F1266D"/>
    <w:rsid w:val="00F235BD"/>
    <w:rsid w:val="00F244BC"/>
    <w:rsid w:val="00F4243A"/>
    <w:rsid w:val="00F577B9"/>
    <w:rsid w:val="00F66C6C"/>
    <w:rsid w:val="00F941D3"/>
    <w:rsid w:val="00F9421C"/>
    <w:rsid w:val="00F94AA7"/>
    <w:rsid w:val="00F97037"/>
    <w:rsid w:val="00FA6280"/>
    <w:rsid w:val="00FA6E36"/>
    <w:rsid w:val="00FC6145"/>
    <w:rsid w:val="00FD24BE"/>
    <w:rsid w:val="00FD34B6"/>
    <w:rsid w:val="00FD4CD0"/>
    <w:rsid w:val="00FD7C4F"/>
    <w:rsid w:val="00FE2630"/>
    <w:rsid w:val="00FE4F8E"/>
    <w:rsid w:val="00FF4729"/>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0D00D"/>
  <w15:docId w15:val="{C9713F25-B5BF-467B-9644-5DE25EC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80"/>
    <w:pPr>
      <w:spacing w:after="0" w:line="240" w:lineRule="auto"/>
    </w:pPr>
    <w:rPr>
      <w:sz w:val="24"/>
      <w:szCs w:val="24"/>
      <w:lang w:val="en-US"/>
    </w:rPr>
  </w:style>
  <w:style w:type="paragraph" w:styleId="Heading1">
    <w:name w:val="heading 1"/>
    <w:basedOn w:val="Normal"/>
    <w:next w:val="Normal"/>
    <w:link w:val="Heading1Char"/>
    <w:uiPriority w:val="9"/>
    <w:qFormat/>
    <w:rsid w:val="00DB3D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DB3D8D"/>
    <w:pPr>
      <w:keepNext/>
      <w:keepLines/>
      <w:spacing w:before="480" w:after="120" w:line="360" w:lineRule="auto"/>
      <w:outlineLvl w:val="2"/>
    </w:pPr>
    <w:rPr>
      <w:rFonts w:ascii="Arial" w:eastAsia="Times New Roman" w:hAnsi="Arial" w:cs="Arial"/>
      <w:bCs/>
      <w:sz w:val="28"/>
      <w:szCs w:val="28"/>
      <w:lang w:val="en-AU"/>
    </w:rPr>
  </w:style>
  <w:style w:type="paragraph" w:styleId="Heading4">
    <w:name w:val="heading 4"/>
    <w:basedOn w:val="Normal"/>
    <w:next w:val="Normal"/>
    <w:link w:val="Heading4Char"/>
    <w:uiPriority w:val="9"/>
    <w:unhideWhenUsed/>
    <w:qFormat/>
    <w:rsid w:val="0042084F"/>
    <w:pPr>
      <w:keepNext/>
      <w:keepLines/>
      <w:numPr>
        <w:ilvl w:val="3"/>
        <w:numId w:val="19"/>
      </w:numPr>
      <w:spacing w:before="280" w:after="240"/>
      <w:outlineLvl w:val="3"/>
    </w:pPr>
    <w:rPr>
      <w:rFonts w:ascii="Helvetica" w:eastAsiaTheme="majorEastAsia" w:hAnsi="Helvetica" w:cstheme="majorBidi"/>
      <w:iCs/>
      <w:sz w:val="28"/>
      <w:szCs w:val="22"/>
      <w:lang w:val="en-AU"/>
    </w:rPr>
  </w:style>
  <w:style w:type="paragraph" w:styleId="Heading5">
    <w:name w:val="heading 5"/>
    <w:basedOn w:val="Normal"/>
    <w:next w:val="Normal"/>
    <w:link w:val="Heading5Char"/>
    <w:uiPriority w:val="9"/>
    <w:unhideWhenUsed/>
    <w:qFormat/>
    <w:rsid w:val="0042084F"/>
    <w:pPr>
      <w:keepNext/>
      <w:keepLines/>
      <w:numPr>
        <w:ilvl w:val="4"/>
        <w:numId w:val="19"/>
      </w:numPr>
      <w:spacing w:before="240" w:after="240"/>
      <w:contextualSpacing/>
      <w:outlineLvl w:val="4"/>
    </w:pPr>
    <w:rPr>
      <w:rFonts w:ascii="Helvetica" w:eastAsiaTheme="majorEastAsia" w:hAnsi="Helvetica" w:cstheme="majorBidi"/>
      <w:b/>
      <w:spacing w:val="-10"/>
      <w:kern w:val="28"/>
      <w:szCs w:val="5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80"/>
    <w:pPr>
      <w:tabs>
        <w:tab w:val="center" w:pos="4513"/>
        <w:tab w:val="right" w:pos="9026"/>
      </w:tabs>
    </w:pPr>
  </w:style>
  <w:style w:type="character" w:customStyle="1" w:styleId="HeaderChar">
    <w:name w:val="Header Char"/>
    <w:basedOn w:val="DefaultParagraphFont"/>
    <w:link w:val="Header"/>
    <w:uiPriority w:val="99"/>
    <w:rsid w:val="009E4480"/>
  </w:style>
  <w:style w:type="paragraph" w:styleId="Footer">
    <w:name w:val="footer"/>
    <w:basedOn w:val="Normal"/>
    <w:link w:val="FooterChar"/>
    <w:uiPriority w:val="99"/>
    <w:unhideWhenUsed/>
    <w:rsid w:val="009E4480"/>
    <w:pPr>
      <w:tabs>
        <w:tab w:val="center" w:pos="4513"/>
        <w:tab w:val="right" w:pos="9026"/>
      </w:tabs>
    </w:pPr>
  </w:style>
  <w:style w:type="character" w:customStyle="1" w:styleId="FooterChar">
    <w:name w:val="Footer Char"/>
    <w:basedOn w:val="DefaultParagraphFont"/>
    <w:link w:val="Footer"/>
    <w:uiPriority w:val="99"/>
    <w:rsid w:val="009E4480"/>
  </w:style>
  <w:style w:type="paragraph" w:styleId="BalloonText">
    <w:name w:val="Balloon Text"/>
    <w:basedOn w:val="Normal"/>
    <w:link w:val="BalloonTextChar"/>
    <w:uiPriority w:val="99"/>
    <w:semiHidden/>
    <w:unhideWhenUsed/>
    <w:rsid w:val="009E4480"/>
    <w:rPr>
      <w:rFonts w:ascii="Tahoma" w:hAnsi="Tahoma" w:cs="Tahoma"/>
      <w:sz w:val="16"/>
      <w:szCs w:val="16"/>
    </w:rPr>
  </w:style>
  <w:style w:type="character" w:customStyle="1" w:styleId="BalloonTextChar">
    <w:name w:val="Balloon Text Char"/>
    <w:basedOn w:val="DefaultParagraphFont"/>
    <w:link w:val="BalloonText"/>
    <w:uiPriority w:val="99"/>
    <w:semiHidden/>
    <w:rsid w:val="009E4480"/>
    <w:rPr>
      <w:rFonts w:ascii="Tahoma" w:hAnsi="Tahoma" w:cs="Tahoma"/>
      <w:sz w:val="16"/>
      <w:szCs w:val="16"/>
    </w:rPr>
  </w:style>
  <w:style w:type="paragraph" w:styleId="ListParagraph">
    <w:name w:val="List Paragraph"/>
    <w:basedOn w:val="Normal"/>
    <w:uiPriority w:val="34"/>
    <w:qFormat/>
    <w:rsid w:val="009E4480"/>
    <w:pPr>
      <w:ind w:left="720"/>
      <w:contextualSpacing/>
    </w:pPr>
  </w:style>
  <w:style w:type="paragraph" w:styleId="FootnoteText">
    <w:name w:val="footnote text"/>
    <w:basedOn w:val="Normal"/>
    <w:link w:val="FootnoteTextChar"/>
    <w:uiPriority w:val="99"/>
    <w:unhideWhenUsed/>
    <w:rsid w:val="00E63ABD"/>
    <w:rPr>
      <w:rFonts w:ascii="Athelas Regular" w:hAnsi="Athelas Regular"/>
      <w:sz w:val="20"/>
    </w:rPr>
  </w:style>
  <w:style w:type="character" w:customStyle="1" w:styleId="FootnoteTextChar">
    <w:name w:val="Footnote Text Char"/>
    <w:basedOn w:val="DefaultParagraphFont"/>
    <w:link w:val="FootnoteText"/>
    <w:uiPriority w:val="99"/>
    <w:rsid w:val="00E63ABD"/>
    <w:rPr>
      <w:rFonts w:ascii="Athelas Regular" w:hAnsi="Athelas Regular"/>
      <w:sz w:val="20"/>
      <w:szCs w:val="24"/>
      <w:lang w:val="en-US"/>
    </w:rPr>
  </w:style>
  <w:style w:type="character" w:styleId="FootnoteReference">
    <w:name w:val="footnote reference"/>
    <w:basedOn w:val="DefaultParagraphFont"/>
    <w:uiPriority w:val="99"/>
    <w:unhideWhenUsed/>
    <w:rsid w:val="00E63ABD"/>
    <w:rPr>
      <w:vertAlign w:val="superscript"/>
    </w:rPr>
  </w:style>
  <w:style w:type="paragraph" w:styleId="NormalWeb">
    <w:name w:val="Normal (Web)"/>
    <w:basedOn w:val="Normal"/>
    <w:uiPriority w:val="99"/>
    <w:rsid w:val="00E63ABD"/>
    <w:pPr>
      <w:spacing w:beforeLines="1" w:afterLines="1"/>
    </w:pPr>
    <w:rPr>
      <w:rFonts w:ascii="Times" w:hAnsi="Times" w:cs="Times New Roman"/>
      <w:sz w:val="20"/>
      <w:szCs w:val="20"/>
      <w:lang w:val="en-AU"/>
    </w:rPr>
  </w:style>
  <w:style w:type="paragraph" w:styleId="NoSpacing">
    <w:name w:val="No Spacing"/>
    <w:basedOn w:val="Normal"/>
    <w:link w:val="NoSpacingChar"/>
    <w:uiPriority w:val="1"/>
    <w:qFormat/>
    <w:rsid w:val="00A04EC0"/>
    <w:pPr>
      <w:spacing w:line="360" w:lineRule="auto"/>
      <w:ind w:left="714"/>
      <w:jc w:val="both"/>
    </w:pPr>
    <w:rPr>
      <w:rFonts w:ascii="Verdana" w:hAnsi="Verdana" w:cs="Times New Roman"/>
      <w:sz w:val="22"/>
      <w:szCs w:val="22"/>
      <w:lang w:val="en-AU"/>
    </w:rPr>
  </w:style>
  <w:style w:type="character" w:customStyle="1" w:styleId="NoSpacingChar">
    <w:name w:val="No Spacing Char"/>
    <w:basedOn w:val="DefaultParagraphFont"/>
    <w:link w:val="NoSpacing"/>
    <w:uiPriority w:val="1"/>
    <w:rsid w:val="00A04EC0"/>
    <w:rPr>
      <w:rFonts w:ascii="Verdana" w:hAnsi="Verdana" w:cs="Times New Roman"/>
    </w:rPr>
  </w:style>
  <w:style w:type="character" w:styleId="Hyperlink">
    <w:name w:val="Hyperlink"/>
    <w:basedOn w:val="DefaultParagraphFont"/>
    <w:uiPriority w:val="99"/>
    <w:unhideWhenUsed/>
    <w:rsid w:val="00A04EC0"/>
    <w:rPr>
      <w:color w:val="0000FF" w:themeColor="hyperlink"/>
      <w:u w:val="single"/>
    </w:rPr>
  </w:style>
  <w:style w:type="character" w:customStyle="1" w:styleId="Heading1Char">
    <w:name w:val="Heading 1 Char"/>
    <w:basedOn w:val="DefaultParagraphFont"/>
    <w:link w:val="Heading1"/>
    <w:uiPriority w:val="9"/>
    <w:rsid w:val="00DB3D8D"/>
    <w:rPr>
      <w:rFonts w:asciiTheme="majorHAnsi" w:eastAsiaTheme="majorEastAsia" w:hAnsiTheme="majorHAnsi" w:cstheme="majorBidi"/>
      <w:b/>
      <w:bCs/>
      <w:color w:val="345A8A" w:themeColor="accent1" w:themeShade="B5"/>
      <w:sz w:val="32"/>
      <w:szCs w:val="32"/>
      <w:lang w:val="en-US"/>
    </w:rPr>
  </w:style>
  <w:style w:type="character" w:customStyle="1" w:styleId="Heading3Char">
    <w:name w:val="Heading 3 Char"/>
    <w:basedOn w:val="DefaultParagraphFont"/>
    <w:link w:val="Heading3"/>
    <w:uiPriority w:val="9"/>
    <w:rsid w:val="00DB3D8D"/>
    <w:rPr>
      <w:rFonts w:ascii="Arial" w:eastAsia="Times New Roman" w:hAnsi="Arial" w:cs="Arial"/>
      <w:bCs/>
      <w:sz w:val="28"/>
      <w:szCs w:val="28"/>
    </w:rPr>
  </w:style>
  <w:style w:type="character" w:styleId="PageNumber">
    <w:name w:val="page number"/>
    <w:uiPriority w:val="99"/>
    <w:unhideWhenUsed/>
    <w:rsid w:val="00DB3D8D"/>
  </w:style>
  <w:style w:type="paragraph" w:customStyle="1" w:styleId="NumberedParagraph">
    <w:name w:val="Numbered Paragraph"/>
    <w:basedOn w:val="BodyText"/>
    <w:qFormat/>
    <w:rsid w:val="009C223D"/>
    <w:pPr>
      <w:numPr>
        <w:numId w:val="1"/>
      </w:numPr>
      <w:spacing w:after="240" w:line="360" w:lineRule="auto"/>
      <w:jc w:val="both"/>
    </w:pPr>
    <w:rPr>
      <w:rFonts w:ascii="Arial" w:eastAsia="Calibri" w:hAnsi="Arial" w:cs="Times New Roman"/>
      <w:sz w:val="22"/>
      <w:szCs w:val="22"/>
      <w:lang w:val="en-AU"/>
    </w:rPr>
  </w:style>
  <w:style w:type="paragraph" w:styleId="BodyText">
    <w:name w:val="Body Text"/>
    <w:basedOn w:val="Normal"/>
    <w:link w:val="BodyTextChar"/>
    <w:uiPriority w:val="99"/>
    <w:semiHidden/>
    <w:unhideWhenUsed/>
    <w:rsid w:val="00DB3D8D"/>
    <w:pPr>
      <w:spacing w:after="120"/>
    </w:pPr>
    <w:rPr>
      <w:rFonts w:eastAsiaTheme="minorEastAsia"/>
    </w:rPr>
  </w:style>
  <w:style w:type="character" w:customStyle="1" w:styleId="BodyTextChar">
    <w:name w:val="Body Text Char"/>
    <w:basedOn w:val="DefaultParagraphFont"/>
    <w:link w:val="BodyText"/>
    <w:uiPriority w:val="99"/>
    <w:semiHidden/>
    <w:rsid w:val="00DB3D8D"/>
    <w:rPr>
      <w:rFonts w:eastAsiaTheme="minorEastAsia"/>
      <w:sz w:val="24"/>
      <w:szCs w:val="24"/>
      <w:lang w:val="en-US"/>
    </w:rPr>
  </w:style>
  <w:style w:type="paragraph" w:styleId="TOCHeading">
    <w:name w:val="TOC Heading"/>
    <w:basedOn w:val="Heading1"/>
    <w:next w:val="Normal"/>
    <w:uiPriority w:val="39"/>
    <w:unhideWhenUsed/>
    <w:qFormat/>
    <w:rsid w:val="00DB3D8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B3D8D"/>
    <w:pPr>
      <w:tabs>
        <w:tab w:val="right" w:leader="dot" w:pos="8296"/>
      </w:tabs>
      <w:spacing w:before="120"/>
    </w:pPr>
    <w:rPr>
      <w:rFonts w:ascii="Arial" w:eastAsiaTheme="minorEastAsia" w:hAnsi="Arial" w:cs="Arial"/>
      <w:noProof/>
      <w:u w:val="single"/>
      <w:lang w:val="en-AU"/>
    </w:rPr>
  </w:style>
  <w:style w:type="paragraph" w:styleId="TOC2">
    <w:name w:val="toc 2"/>
    <w:basedOn w:val="Normal"/>
    <w:next w:val="Normal"/>
    <w:autoRedefine/>
    <w:uiPriority w:val="39"/>
    <w:unhideWhenUsed/>
    <w:rsid w:val="00DB3D8D"/>
    <w:pPr>
      <w:ind w:left="240"/>
    </w:pPr>
    <w:rPr>
      <w:rFonts w:eastAsiaTheme="minorEastAsia"/>
      <w:b/>
      <w:sz w:val="22"/>
      <w:szCs w:val="22"/>
    </w:rPr>
  </w:style>
  <w:style w:type="paragraph" w:styleId="TOC3">
    <w:name w:val="toc 3"/>
    <w:basedOn w:val="Normal"/>
    <w:next w:val="Normal"/>
    <w:autoRedefine/>
    <w:uiPriority w:val="39"/>
    <w:unhideWhenUsed/>
    <w:rsid w:val="00DB3D8D"/>
    <w:pPr>
      <w:ind w:left="480"/>
    </w:pPr>
    <w:rPr>
      <w:rFonts w:eastAsiaTheme="minorEastAsia"/>
      <w:sz w:val="22"/>
      <w:szCs w:val="22"/>
    </w:rPr>
  </w:style>
  <w:style w:type="paragraph" w:styleId="TOC4">
    <w:name w:val="toc 4"/>
    <w:basedOn w:val="Normal"/>
    <w:next w:val="Normal"/>
    <w:autoRedefine/>
    <w:uiPriority w:val="39"/>
    <w:unhideWhenUsed/>
    <w:rsid w:val="00DB3D8D"/>
    <w:pPr>
      <w:ind w:left="720"/>
    </w:pPr>
    <w:rPr>
      <w:rFonts w:eastAsiaTheme="minorEastAsia"/>
      <w:sz w:val="20"/>
      <w:szCs w:val="20"/>
    </w:rPr>
  </w:style>
  <w:style w:type="paragraph" w:styleId="TOC5">
    <w:name w:val="toc 5"/>
    <w:basedOn w:val="Normal"/>
    <w:next w:val="Normal"/>
    <w:autoRedefine/>
    <w:uiPriority w:val="39"/>
    <w:unhideWhenUsed/>
    <w:rsid w:val="00DB3D8D"/>
    <w:pPr>
      <w:ind w:left="960"/>
    </w:pPr>
    <w:rPr>
      <w:rFonts w:eastAsiaTheme="minorEastAsia"/>
      <w:sz w:val="20"/>
      <w:szCs w:val="20"/>
    </w:rPr>
  </w:style>
  <w:style w:type="paragraph" w:styleId="TOC6">
    <w:name w:val="toc 6"/>
    <w:basedOn w:val="Normal"/>
    <w:next w:val="Normal"/>
    <w:autoRedefine/>
    <w:uiPriority w:val="39"/>
    <w:unhideWhenUsed/>
    <w:rsid w:val="00DB3D8D"/>
    <w:pPr>
      <w:ind w:left="1200"/>
    </w:pPr>
    <w:rPr>
      <w:rFonts w:eastAsiaTheme="minorEastAsia"/>
      <w:sz w:val="20"/>
      <w:szCs w:val="20"/>
    </w:rPr>
  </w:style>
  <w:style w:type="paragraph" w:styleId="TOC7">
    <w:name w:val="toc 7"/>
    <w:basedOn w:val="Normal"/>
    <w:next w:val="Normal"/>
    <w:autoRedefine/>
    <w:uiPriority w:val="39"/>
    <w:unhideWhenUsed/>
    <w:rsid w:val="00DB3D8D"/>
    <w:pPr>
      <w:ind w:left="1440"/>
    </w:pPr>
    <w:rPr>
      <w:rFonts w:eastAsiaTheme="minorEastAsia"/>
      <w:sz w:val="20"/>
      <w:szCs w:val="20"/>
    </w:rPr>
  </w:style>
  <w:style w:type="paragraph" w:styleId="TOC8">
    <w:name w:val="toc 8"/>
    <w:basedOn w:val="Normal"/>
    <w:next w:val="Normal"/>
    <w:autoRedefine/>
    <w:uiPriority w:val="39"/>
    <w:unhideWhenUsed/>
    <w:rsid w:val="00DB3D8D"/>
    <w:pPr>
      <w:ind w:left="1680"/>
    </w:pPr>
    <w:rPr>
      <w:rFonts w:eastAsiaTheme="minorEastAsia"/>
      <w:sz w:val="20"/>
      <w:szCs w:val="20"/>
    </w:rPr>
  </w:style>
  <w:style w:type="paragraph" w:styleId="TOC9">
    <w:name w:val="toc 9"/>
    <w:basedOn w:val="Normal"/>
    <w:next w:val="Normal"/>
    <w:autoRedefine/>
    <w:uiPriority w:val="39"/>
    <w:unhideWhenUsed/>
    <w:rsid w:val="00DB3D8D"/>
    <w:pPr>
      <w:ind w:left="1920"/>
    </w:pPr>
    <w:rPr>
      <w:rFonts w:eastAsiaTheme="minorEastAsia"/>
      <w:sz w:val="20"/>
      <w:szCs w:val="20"/>
    </w:rPr>
  </w:style>
  <w:style w:type="character" w:styleId="CommentReference">
    <w:name w:val="annotation reference"/>
    <w:basedOn w:val="DefaultParagraphFont"/>
    <w:rsid w:val="00DB3D8D"/>
    <w:rPr>
      <w:sz w:val="16"/>
      <w:szCs w:val="16"/>
    </w:rPr>
  </w:style>
  <w:style w:type="paragraph" w:styleId="CommentText">
    <w:name w:val="annotation text"/>
    <w:basedOn w:val="Normal"/>
    <w:link w:val="CommentTextChar"/>
    <w:rsid w:val="00DB3D8D"/>
    <w:rPr>
      <w:rFonts w:eastAsiaTheme="minorEastAsia"/>
      <w:sz w:val="20"/>
      <w:szCs w:val="20"/>
    </w:rPr>
  </w:style>
  <w:style w:type="character" w:customStyle="1" w:styleId="CommentTextChar">
    <w:name w:val="Comment Text Char"/>
    <w:basedOn w:val="DefaultParagraphFont"/>
    <w:link w:val="CommentText"/>
    <w:rsid w:val="00DB3D8D"/>
    <w:rPr>
      <w:rFonts w:eastAsiaTheme="minorEastAsia"/>
      <w:sz w:val="20"/>
      <w:szCs w:val="20"/>
      <w:lang w:val="en-US"/>
    </w:rPr>
  </w:style>
  <w:style w:type="paragraph" w:styleId="CommentSubject">
    <w:name w:val="annotation subject"/>
    <w:basedOn w:val="CommentText"/>
    <w:next w:val="CommentText"/>
    <w:link w:val="CommentSubjectChar"/>
    <w:rsid w:val="00DB3D8D"/>
    <w:rPr>
      <w:b/>
      <w:bCs/>
    </w:rPr>
  </w:style>
  <w:style w:type="character" w:customStyle="1" w:styleId="CommentSubjectChar">
    <w:name w:val="Comment Subject Char"/>
    <w:basedOn w:val="CommentTextChar"/>
    <w:link w:val="CommentSubject"/>
    <w:rsid w:val="00DB3D8D"/>
    <w:rPr>
      <w:rFonts w:eastAsiaTheme="minorEastAsia"/>
      <w:b/>
      <w:bCs/>
      <w:sz w:val="20"/>
      <w:szCs w:val="20"/>
      <w:lang w:val="en-US"/>
    </w:rPr>
  </w:style>
  <w:style w:type="paragraph" w:customStyle="1" w:styleId="Default">
    <w:name w:val="Default"/>
    <w:rsid w:val="00DB3D8D"/>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Style1">
    <w:name w:val="Style1"/>
    <w:basedOn w:val="NumberedParagraph"/>
    <w:autoRedefine/>
    <w:qFormat/>
    <w:rsid w:val="0089349D"/>
    <w:pPr>
      <w:numPr>
        <w:ilvl w:val="2"/>
      </w:numPr>
    </w:pPr>
  </w:style>
  <w:style w:type="paragraph" w:customStyle="1" w:styleId="Style2">
    <w:name w:val="Style2"/>
    <w:basedOn w:val="NumberedParagraph"/>
    <w:rsid w:val="00112879"/>
    <w:pPr>
      <w:numPr>
        <w:numId w:val="0"/>
      </w:numPr>
    </w:pPr>
  </w:style>
  <w:style w:type="paragraph" w:customStyle="1" w:styleId="base-text-paragraph">
    <w:name w:val="base-text-paragraph"/>
    <w:basedOn w:val="Normal"/>
    <w:link w:val="base-text-paragraphChar"/>
    <w:qFormat/>
    <w:rsid w:val="000F210F"/>
    <w:pPr>
      <w:numPr>
        <w:ilvl w:val="1"/>
        <w:numId w:val="18"/>
      </w:numPr>
      <w:spacing w:before="120" w:after="120"/>
    </w:pPr>
    <w:rPr>
      <w:rFonts w:ascii="Times New Roman" w:eastAsia="Times New Roman" w:hAnsi="Times New Roman" w:cs="Times New Roman"/>
      <w:sz w:val="22"/>
      <w:szCs w:val="20"/>
      <w:lang w:val="en-AU" w:eastAsia="en-AU"/>
    </w:rPr>
  </w:style>
  <w:style w:type="character" w:customStyle="1" w:styleId="base-text-paragraphChar">
    <w:name w:val="base-text-paragraph Char"/>
    <w:basedOn w:val="DefaultParagraphFont"/>
    <w:link w:val="base-text-paragraph"/>
    <w:rsid w:val="000F210F"/>
    <w:rPr>
      <w:rFonts w:ascii="Times New Roman" w:eastAsia="Times New Roman" w:hAnsi="Times New Roman" w:cs="Times New Roman"/>
      <w:szCs w:val="20"/>
      <w:lang w:eastAsia="en-AU"/>
    </w:rPr>
  </w:style>
  <w:style w:type="numbering" w:customStyle="1" w:styleId="ChapterList">
    <w:name w:val="ChapterList"/>
    <w:uiPriority w:val="99"/>
    <w:rsid w:val="000F210F"/>
    <w:pPr>
      <w:numPr>
        <w:numId w:val="17"/>
      </w:numPr>
    </w:pPr>
  </w:style>
  <w:style w:type="character" w:customStyle="1" w:styleId="Heading4Char">
    <w:name w:val="Heading 4 Char"/>
    <w:basedOn w:val="DefaultParagraphFont"/>
    <w:link w:val="Heading4"/>
    <w:uiPriority w:val="9"/>
    <w:rsid w:val="0042084F"/>
    <w:rPr>
      <w:rFonts w:ascii="Helvetica" w:eastAsiaTheme="majorEastAsia" w:hAnsi="Helvetica" w:cstheme="majorBidi"/>
      <w:iCs/>
      <w:sz w:val="28"/>
    </w:rPr>
  </w:style>
  <w:style w:type="character" w:customStyle="1" w:styleId="Heading5Char">
    <w:name w:val="Heading 5 Char"/>
    <w:basedOn w:val="DefaultParagraphFont"/>
    <w:link w:val="Heading5"/>
    <w:uiPriority w:val="9"/>
    <w:rsid w:val="0042084F"/>
    <w:rPr>
      <w:rFonts w:ascii="Helvetica" w:eastAsiaTheme="majorEastAsia" w:hAnsi="Helvetica" w:cstheme="majorBidi"/>
      <w:b/>
      <w:spacing w:val="-10"/>
      <w:kern w:val="28"/>
      <w:sz w:val="24"/>
      <w:szCs w:val="56"/>
    </w:rPr>
  </w:style>
  <w:style w:type="paragraph" w:customStyle="1" w:styleId="Tabledotpoint1">
    <w:name w:val="Table dot point 1"/>
    <w:basedOn w:val="Normal"/>
    <w:uiPriority w:val="1"/>
    <w:rsid w:val="0042084F"/>
    <w:pPr>
      <w:numPr>
        <w:numId w:val="20"/>
      </w:numPr>
      <w:spacing w:before="120" w:after="120"/>
      <w:ind w:left="425" w:hanging="425"/>
    </w:pPr>
    <w:rPr>
      <w:rFonts w:ascii="Times New Roman" w:hAnsi="Times New Roman"/>
      <w:sz w:val="20"/>
      <w:szCs w:val="22"/>
      <w:lang w:val="en-AU"/>
    </w:rPr>
  </w:style>
  <w:style w:type="paragraph" w:customStyle="1" w:styleId="Tableheaderrowtext">
    <w:name w:val="Table header row text"/>
    <w:basedOn w:val="Heading4"/>
    <w:uiPriority w:val="1"/>
    <w:rsid w:val="0042084F"/>
    <w:pPr>
      <w:keepLines w:val="0"/>
      <w:spacing w:before="120" w:after="120"/>
    </w:pPr>
    <w:rPr>
      <w:rFonts w:eastAsia="Times New Roman" w:cs="Helvetica"/>
      <w:b/>
      <w:i/>
      <w:sz w:val="22"/>
    </w:rPr>
  </w:style>
  <w:style w:type="paragraph" w:customStyle="1" w:styleId="Tabletext">
    <w:name w:val="Table text"/>
    <w:basedOn w:val="Normal"/>
    <w:uiPriority w:val="1"/>
    <w:rsid w:val="0042084F"/>
    <w:pPr>
      <w:spacing w:before="60" w:after="60"/>
      <w:ind w:left="34"/>
    </w:pPr>
    <w:rPr>
      <w:rFonts w:ascii="Times New Roman" w:eastAsia="Times New Roman" w:hAnsi="Times New Roman" w:cs="Times New Roman"/>
      <w:sz w:val="20"/>
      <w:szCs w:val="20"/>
      <w:lang w:val="en-AU" w:eastAsia="en-AU"/>
    </w:rPr>
  </w:style>
  <w:style w:type="table" w:customStyle="1" w:styleId="Treasurytable">
    <w:name w:val="Treasury table"/>
    <w:basedOn w:val="TableNormal"/>
    <w:uiPriority w:val="99"/>
    <w:rsid w:val="0042084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line="240" w:lineRule="auto"/>
      </w:pPr>
      <w:rPr>
        <w:rFonts w:ascii="Helvetica" w:hAnsi="Helvetica"/>
        <w:sz w:val="28"/>
      </w:rPr>
      <w:tblPr/>
      <w:trPr>
        <w:cantSplit/>
        <w:tblHeader/>
      </w:trPr>
    </w:tblStylePr>
  </w:style>
  <w:style w:type="paragraph" w:customStyle="1" w:styleId="tabletext0">
    <w:name w:val="table text"/>
    <w:basedOn w:val="Normal"/>
    <w:rsid w:val="0042084F"/>
    <w:pPr>
      <w:spacing w:before="40" w:after="40"/>
    </w:pPr>
    <w:rPr>
      <w:rFonts w:ascii="Times New Roman" w:eastAsia="Times New Roman" w:hAnsi="Times New Roman" w:cs="Times New Roman"/>
      <w:sz w:val="20"/>
      <w:szCs w:val="20"/>
      <w:lang w:val="en-AU" w:eastAsia="en-AU"/>
    </w:rPr>
  </w:style>
  <w:style w:type="paragraph" w:customStyle="1" w:styleId="exampleindent">
    <w:name w:val="example indent"/>
    <w:basedOn w:val="Normal"/>
    <w:rsid w:val="0042084F"/>
    <w:pPr>
      <w:spacing w:before="120" w:after="120"/>
      <w:ind w:left="2268"/>
    </w:pPr>
    <w:rPr>
      <w:rFonts w:ascii="Times New Roman" w:eastAsia="Times New Roman" w:hAnsi="Times New Roman" w:cs="Times New Roman"/>
      <w:sz w:val="20"/>
      <w:szCs w:val="20"/>
      <w:lang w:val="en-AU" w:eastAsia="en-AU"/>
    </w:rPr>
  </w:style>
  <w:style w:type="paragraph" w:customStyle="1" w:styleId="Bullet">
    <w:name w:val="Bullet"/>
    <w:basedOn w:val="Normal"/>
    <w:link w:val="BulletChar"/>
    <w:rsid w:val="0042084F"/>
    <w:pPr>
      <w:tabs>
        <w:tab w:val="num" w:pos="472"/>
      </w:tabs>
      <w:spacing w:before="120" w:after="120"/>
      <w:ind w:left="472" w:hanging="472"/>
    </w:pPr>
    <w:rPr>
      <w:rFonts w:ascii="Times New Roman" w:eastAsia="Times New Roman" w:hAnsi="Times New Roman" w:cs="Times New Roman"/>
      <w:sz w:val="20"/>
      <w:szCs w:val="18"/>
      <w:lang w:val="en-AU" w:eastAsia="en-AU"/>
    </w:rPr>
  </w:style>
  <w:style w:type="character" w:customStyle="1" w:styleId="BulletChar">
    <w:name w:val="Bullet Char"/>
    <w:basedOn w:val="DefaultParagraphFont"/>
    <w:link w:val="Bullet"/>
    <w:rsid w:val="0042084F"/>
    <w:rPr>
      <w:rFonts w:ascii="Times New Roman" w:eastAsia="Times New Roman" w:hAnsi="Times New Roman" w:cs="Times New Roman"/>
      <w:sz w:val="20"/>
      <w:szCs w:val="18"/>
      <w:lang w:eastAsia="en-AU"/>
    </w:rPr>
  </w:style>
  <w:style w:type="paragraph" w:styleId="Revision">
    <w:name w:val="Revision"/>
    <w:hidden/>
    <w:uiPriority w:val="99"/>
    <w:semiHidden/>
    <w:rsid w:val="00EA1795"/>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caca2010265/s95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stlii.edu.au/au/legis/cth/consol_act/caca2010265/s95a.html" TargetMode="External"/><Relationship Id="rId4" Type="http://schemas.openxmlformats.org/officeDocument/2006/relationships/settings" Target="settings.xml"/><Relationship Id="rId9" Type="http://schemas.openxmlformats.org/officeDocument/2006/relationships/hyperlink" Target="http://www.austlii.edu.au/au/legis/cth/consol_act/caca2010265/s152a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0842D-DE14-4486-BA2A-4A6AF9E8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30</Pages>
  <Words>8896</Words>
  <Characters>50708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Fredericks</dc:creator>
  <cp:lastModifiedBy>Hugo de Kock</cp:lastModifiedBy>
  <cp:revision>13</cp:revision>
  <cp:lastPrinted>2016-12-22T02:32:00Z</cp:lastPrinted>
  <dcterms:created xsi:type="dcterms:W3CDTF">2023-03-21T04:44:00Z</dcterms:created>
  <dcterms:modified xsi:type="dcterms:W3CDTF">2023-03-30T23:41:00Z</dcterms:modified>
</cp:coreProperties>
</file>